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BCE75" w14:textId="6070833D" w:rsidR="00EB42B5" w:rsidRDefault="00EB42B5" w:rsidP="00EB42B5">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Pr>
          <w:rFonts w:ascii="Times New Roman" w:eastAsia="Times New Roman" w:hAnsi="Times New Roman" w:cs="Times New Roman"/>
          <w:b/>
          <w:bCs/>
          <w:noProof/>
          <w:kern w:val="36"/>
          <w:sz w:val="40"/>
          <w:szCs w:val="40"/>
        </w:rPr>
        <w:drawing>
          <wp:inline distT="0" distB="0" distL="0" distR="0" wp14:anchorId="3C048363" wp14:editId="148C2B94">
            <wp:extent cx="5943600" cy="96319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192"/>
                    </a:xfrm>
                    <a:prstGeom prst="rect">
                      <a:avLst/>
                    </a:prstGeom>
                    <a:noFill/>
                  </pic:spPr>
                </pic:pic>
              </a:graphicData>
            </a:graphic>
          </wp:inline>
        </w:drawing>
      </w:r>
    </w:p>
    <w:p w14:paraId="3ECF59F7" w14:textId="7758DE79" w:rsidR="00EB42B5" w:rsidRPr="00EB42B5" w:rsidRDefault="00EB42B5" w:rsidP="00EB42B5">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EB42B5">
        <w:rPr>
          <w:rFonts w:ascii="Times New Roman" w:eastAsia="Times New Roman" w:hAnsi="Times New Roman" w:cs="Times New Roman"/>
          <w:b/>
          <w:bCs/>
          <w:kern w:val="36"/>
          <w:sz w:val="36"/>
          <w:szCs w:val="36"/>
          <w14:ligatures w14:val="none"/>
        </w:rPr>
        <w:t>General Staff Meeting held on July 20, 2026</w:t>
      </w:r>
    </w:p>
    <w:p w14:paraId="33BB26BB"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B42B5">
        <w:rPr>
          <w:rFonts w:ascii="Times New Roman" w:eastAsia="Times New Roman" w:hAnsi="Times New Roman" w:cs="Times New Roman"/>
          <w:b/>
          <w:bCs/>
          <w:kern w:val="0"/>
          <w:sz w:val="36"/>
          <w:szCs w:val="36"/>
          <w14:ligatures w14:val="none"/>
        </w:rPr>
        <w:t>Attendees</w:t>
      </w:r>
    </w:p>
    <w:p w14:paraId="2DC9B125"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Jeffery N. Yates – Head of Secretariat</w:t>
      </w:r>
    </w:p>
    <w:p w14:paraId="2D9DB0C9"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Zaza Y. </w:t>
      </w:r>
      <w:proofErr w:type="spellStart"/>
      <w:r w:rsidRPr="00EB42B5">
        <w:rPr>
          <w:rFonts w:ascii="Times New Roman" w:eastAsia="Times New Roman" w:hAnsi="Times New Roman" w:cs="Times New Roman"/>
          <w:kern w:val="0"/>
          <w14:ligatures w14:val="none"/>
        </w:rPr>
        <w:t>Quaqua</w:t>
      </w:r>
      <w:proofErr w:type="spellEnd"/>
      <w:r w:rsidRPr="00EB42B5">
        <w:rPr>
          <w:rFonts w:ascii="Times New Roman" w:eastAsia="Times New Roman" w:hAnsi="Times New Roman" w:cs="Times New Roman"/>
          <w:kern w:val="0"/>
          <w14:ligatures w14:val="none"/>
        </w:rPr>
        <w:t xml:space="preserve"> – Deputy Head of Secretariat</w:t>
      </w:r>
    </w:p>
    <w:p w14:paraId="1593C86B"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George Dennis – Finance Director</w:t>
      </w:r>
    </w:p>
    <w:p w14:paraId="617C6997"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Saba Cephas – Admin Manager</w:t>
      </w:r>
    </w:p>
    <w:p w14:paraId="7CEBB2F3"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McDonald S. Kerl Sr. – Technical Officer</w:t>
      </w:r>
    </w:p>
    <w:p w14:paraId="793D0019"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Christine Humaru – Communications Officer</w:t>
      </w:r>
    </w:p>
    <w:p w14:paraId="3439A79C"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Emmanuel K. White – Admin Assistant</w:t>
      </w:r>
    </w:p>
    <w:p w14:paraId="22DFCE23"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Francis Kettor – Procurement Officer</w:t>
      </w:r>
    </w:p>
    <w:p w14:paraId="7EF3CC9C"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J. Elijah Kai – Industrial Analyst</w:t>
      </w:r>
    </w:p>
    <w:p w14:paraId="69FD69D7"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Alphonso G. </w:t>
      </w:r>
      <w:proofErr w:type="spellStart"/>
      <w:r w:rsidRPr="00EB42B5">
        <w:rPr>
          <w:rFonts w:ascii="Times New Roman" w:eastAsia="Times New Roman" w:hAnsi="Times New Roman" w:cs="Times New Roman"/>
          <w:kern w:val="0"/>
          <w14:ligatures w14:val="none"/>
        </w:rPr>
        <w:t>Garyeazon</w:t>
      </w:r>
      <w:proofErr w:type="spellEnd"/>
      <w:r w:rsidRPr="00EB42B5">
        <w:rPr>
          <w:rFonts w:ascii="Times New Roman" w:eastAsia="Times New Roman" w:hAnsi="Times New Roman" w:cs="Times New Roman"/>
          <w:kern w:val="0"/>
          <w14:ligatures w14:val="none"/>
        </w:rPr>
        <w:t xml:space="preserve"> – Industrial Analyst</w:t>
      </w:r>
    </w:p>
    <w:p w14:paraId="39D24FF9"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Kevin W. Benson – Communications Assistant</w:t>
      </w:r>
    </w:p>
    <w:p w14:paraId="5452C864"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Cynthia G. Freeman – Procurement Intern</w:t>
      </w:r>
    </w:p>
    <w:p w14:paraId="06DE825E"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Catherine Leon – Admin Intern</w:t>
      </w:r>
    </w:p>
    <w:p w14:paraId="213C020E"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A. Benedict S. </w:t>
      </w:r>
      <w:proofErr w:type="spellStart"/>
      <w:r w:rsidRPr="00EB42B5">
        <w:rPr>
          <w:rFonts w:ascii="Times New Roman" w:eastAsia="Times New Roman" w:hAnsi="Times New Roman" w:cs="Times New Roman"/>
          <w:kern w:val="0"/>
          <w14:ligatures w14:val="none"/>
        </w:rPr>
        <w:t>Wokpeh</w:t>
      </w:r>
      <w:proofErr w:type="spellEnd"/>
      <w:r w:rsidRPr="00EB42B5">
        <w:rPr>
          <w:rFonts w:ascii="Times New Roman" w:eastAsia="Times New Roman" w:hAnsi="Times New Roman" w:cs="Times New Roman"/>
          <w:kern w:val="0"/>
          <w14:ligatures w14:val="none"/>
        </w:rPr>
        <w:t xml:space="preserve"> – Dispatcher</w:t>
      </w:r>
    </w:p>
    <w:p w14:paraId="16278584" w14:textId="77777777"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Reuben F. Freeman – Head Driver</w:t>
      </w:r>
    </w:p>
    <w:p w14:paraId="0539D5CC" w14:textId="77777777" w:rsid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Trinty </w:t>
      </w:r>
      <w:proofErr w:type="spellStart"/>
      <w:r w:rsidRPr="00EB42B5">
        <w:rPr>
          <w:rFonts w:ascii="Times New Roman" w:eastAsia="Times New Roman" w:hAnsi="Times New Roman" w:cs="Times New Roman"/>
          <w:kern w:val="0"/>
          <w14:ligatures w14:val="none"/>
        </w:rPr>
        <w:t>Trokon</w:t>
      </w:r>
      <w:proofErr w:type="spellEnd"/>
      <w:r w:rsidRPr="00EB42B5">
        <w:rPr>
          <w:rFonts w:ascii="Times New Roman" w:eastAsia="Times New Roman" w:hAnsi="Times New Roman" w:cs="Times New Roman"/>
          <w:kern w:val="0"/>
          <w14:ligatures w14:val="none"/>
        </w:rPr>
        <w:t xml:space="preserve"> Tarr – Intern</w:t>
      </w:r>
    </w:p>
    <w:p w14:paraId="45806795" w14:textId="1CE42E64" w:rsidR="00EB42B5" w:rsidRPr="00EB42B5" w:rsidRDefault="00EB42B5" w:rsidP="00EB42B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Matthew Tobay - Janitor</w:t>
      </w:r>
    </w:p>
    <w:p w14:paraId="16CBB978"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1. Opening Remarks</w:t>
      </w:r>
    </w:p>
    <w:p w14:paraId="2096F993"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meeting was called to order by the Head of Secretariat (HOS), Mr. Jeffery N. Yates. He outlined key institutional priorities, including project reporting, partner coordination, financial and administrative matters, capacity-building activities, and upcoming engagements.</w:t>
      </w:r>
    </w:p>
    <w:p w14:paraId="5AF15318"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emphasized the importance of timely reporting, proper documentation, and coordination across departments to ensure the effective implementation of the Secretariat's work plan.</w:t>
      </w:r>
    </w:p>
    <w:p w14:paraId="770D9FA0"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2. Project Reporting and Institutional Documentation</w:t>
      </w:r>
    </w:p>
    <w:p w14:paraId="60B1AA25"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reviewed progress on ongoing project activities and highlighted the need to finalize the second-quarter ARD report for submission by Wednesday.</w:t>
      </w:r>
    </w:p>
    <w:p w14:paraId="1AD9325F"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emphasized that the report should be prepared using the agreed reporting template and accurately reflect completed activities, performance targets, and supporting evidence.</w:t>
      </w:r>
    </w:p>
    <w:p w14:paraId="196E33B1"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lastRenderedPageBreak/>
        <w:t>The HOS further directed that relevant project documents and evidence provided by partners, including GIZ and those associated with the National Integrity Index, be consolidated and incorporated into institutional reporting.</w:t>
      </w:r>
    </w:p>
    <w:p w14:paraId="33C1C439"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He also highlighted the need to upload relevant </w:t>
      </w:r>
      <w:proofErr w:type="spellStart"/>
      <w:r w:rsidRPr="00EB42B5">
        <w:rPr>
          <w:rFonts w:ascii="Times New Roman" w:eastAsia="Times New Roman" w:hAnsi="Times New Roman" w:cs="Times New Roman"/>
          <w:kern w:val="0"/>
          <w14:ligatures w14:val="none"/>
        </w:rPr>
        <w:t>Compsanot</w:t>
      </w:r>
      <w:proofErr w:type="spellEnd"/>
      <w:r w:rsidRPr="00EB42B5">
        <w:rPr>
          <w:rFonts w:ascii="Times New Roman" w:eastAsia="Times New Roman" w:hAnsi="Times New Roman" w:cs="Times New Roman"/>
          <w:kern w:val="0"/>
          <w14:ligatures w14:val="none"/>
        </w:rPr>
        <w:t xml:space="preserve"> project information and </w:t>
      </w:r>
      <w:proofErr w:type="gramStart"/>
      <w:r w:rsidRPr="00EB42B5">
        <w:rPr>
          <w:rFonts w:ascii="Times New Roman" w:eastAsia="Times New Roman" w:hAnsi="Times New Roman" w:cs="Times New Roman"/>
          <w:kern w:val="0"/>
          <w14:ligatures w14:val="none"/>
        </w:rPr>
        <w:t>supporting</w:t>
      </w:r>
      <w:proofErr w:type="gramEnd"/>
      <w:r w:rsidRPr="00EB42B5">
        <w:rPr>
          <w:rFonts w:ascii="Times New Roman" w:eastAsia="Times New Roman" w:hAnsi="Times New Roman" w:cs="Times New Roman"/>
          <w:kern w:val="0"/>
          <w14:ligatures w14:val="none"/>
        </w:rPr>
        <w:t xml:space="preserve"> links to the LEITI website to strengthen documentation and provide verifiable evidence of project implementation.</w:t>
      </w:r>
    </w:p>
    <w:p w14:paraId="2B919E04"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3. Workshop Reporting and Performance Targets</w:t>
      </w:r>
    </w:p>
    <w:p w14:paraId="0C67DB18"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reviewed progress against planned institutional engagements and workshop targets.</w:t>
      </w:r>
    </w:p>
    <w:p w14:paraId="074CE0D1"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noted the need to reconcile reported activities and participant figures to ensure consistency with the Secretariat's annual work plan and project reporting requirements.</w:t>
      </w:r>
    </w:p>
    <w:p w14:paraId="2B597523"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He directed </w:t>
      </w:r>
      <w:proofErr w:type="gramStart"/>
      <w:r w:rsidRPr="00EB42B5">
        <w:rPr>
          <w:rFonts w:ascii="Times New Roman" w:eastAsia="Times New Roman" w:hAnsi="Times New Roman" w:cs="Times New Roman"/>
          <w:kern w:val="0"/>
          <w14:ligatures w14:val="none"/>
        </w:rPr>
        <w:t>that records</w:t>
      </w:r>
      <w:proofErr w:type="gramEnd"/>
      <w:r w:rsidRPr="00EB42B5">
        <w:rPr>
          <w:rFonts w:ascii="Times New Roman" w:eastAsia="Times New Roman" w:hAnsi="Times New Roman" w:cs="Times New Roman"/>
          <w:kern w:val="0"/>
          <w14:ligatures w14:val="none"/>
        </w:rPr>
        <w:t xml:space="preserve"> from previous technical workshops, including participation by government institutions and stakeholders from the mining, forestry, agriculture, and related sectors, </w:t>
      </w:r>
      <w:proofErr w:type="gramStart"/>
      <w:r w:rsidRPr="00EB42B5">
        <w:rPr>
          <w:rFonts w:ascii="Times New Roman" w:eastAsia="Times New Roman" w:hAnsi="Times New Roman" w:cs="Times New Roman"/>
          <w:kern w:val="0"/>
          <w14:ligatures w14:val="none"/>
        </w:rPr>
        <w:t>be</w:t>
      </w:r>
      <w:proofErr w:type="gramEnd"/>
      <w:r w:rsidRPr="00EB42B5">
        <w:rPr>
          <w:rFonts w:ascii="Times New Roman" w:eastAsia="Times New Roman" w:hAnsi="Times New Roman" w:cs="Times New Roman"/>
          <w:kern w:val="0"/>
          <w14:ligatures w14:val="none"/>
        </w:rPr>
        <w:t xml:space="preserve"> reviewed and updated.</w:t>
      </w:r>
    </w:p>
    <w:p w14:paraId="21EF96EF"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emphasized that all reported achievements should be supported by appropriate documentation to ensure accuracy and credibility.</w:t>
      </w:r>
    </w:p>
    <w:p w14:paraId="7F7E12C8"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4. Financial Management and Administrative Arrangements</w:t>
      </w:r>
    </w:p>
    <w:p w14:paraId="22A37932"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reviewed outstanding financial and administrative matters relating to capacity-building activities, training fees, and international travel arrangements.</w:t>
      </w:r>
    </w:p>
    <w:p w14:paraId="746D346C"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highlighted changes in course fees for planned staff training and the need to follow up on outstanding invoices, including correspondence with Jinpa.</w:t>
      </w:r>
    </w:p>
    <w:p w14:paraId="1C811B75"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further emphasized the importance of verifying travel-related entitlements, including Daily Subsistence Allowance (DSA), and ensuring that applicable adjustments are reflected in financial records.</w:t>
      </w:r>
    </w:p>
    <w:p w14:paraId="200713AC"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also noted that proposed budget adjustments should be reviewed against available project resources and implementation priorities.</w:t>
      </w:r>
    </w:p>
    <w:p w14:paraId="4A8A81DA"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5. Consultant Verification and Institutional Due Diligence</w:t>
      </w:r>
    </w:p>
    <w:p w14:paraId="3EA47644"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raised concerns regarding the engagement of externally recommended consultants for visa and related administrative services.</w:t>
      </w:r>
    </w:p>
    <w:p w14:paraId="4659E206"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emphasized the importance of verifying the identity of recommended service providers and the individuals or institutions responsible for their recommendations before proceeding with any formal engagement.</w:t>
      </w:r>
    </w:p>
    <w:p w14:paraId="0140D96C"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lastRenderedPageBreak/>
        <w:t>He directed that relevant information be obtained and properly documented to ensure transparency and safeguard the Secretariat's institutional interests.</w:t>
      </w:r>
    </w:p>
    <w:p w14:paraId="2FE1C486"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6. Institutional Representation and Upcoming Engagements</w:t>
      </w:r>
    </w:p>
    <w:p w14:paraId="033D1CAE"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discussed preparations for upcoming institutional engagements, including technical presentations and external representation.</w:t>
      </w:r>
    </w:p>
    <w:p w14:paraId="5A81EF93"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emphasized the need for appropriate staff participation and coordination to ensure that the Secretariat is adequately represented.</w:t>
      </w:r>
    </w:p>
    <w:p w14:paraId="45D0D0FB"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also reviewed arrangements concerning the designation of an alternate representative for official assignments where necessary.</w:t>
      </w:r>
    </w:p>
    <w:p w14:paraId="76EDF590"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encouraged relevant technical personnel to prepare the required materials and coordinate their participation in scheduled engagements.</w:t>
      </w:r>
    </w:p>
    <w:p w14:paraId="21F280FD"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7. Communications Capacity Building and Equipment Management</w:t>
      </w:r>
    </w:p>
    <w:p w14:paraId="6F4B1E22"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highlighted the need to strengthen the Communications Department's technical capacity, particularly in graphic design and video production.</w:t>
      </w:r>
    </w:p>
    <w:p w14:paraId="2FCFEF58"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He discussed opportunities for staff training, including potential enrollment at </w:t>
      </w:r>
      <w:proofErr w:type="spellStart"/>
      <w:r w:rsidRPr="00EB42B5">
        <w:rPr>
          <w:rFonts w:ascii="Times New Roman" w:eastAsia="Times New Roman" w:hAnsi="Times New Roman" w:cs="Times New Roman"/>
          <w:kern w:val="0"/>
          <w14:ligatures w14:val="none"/>
        </w:rPr>
        <w:t>Bluecrest</w:t>
      </w:r>
      <w:proofErr w:type="spellEnd"/>
      <w:r w:rsidRPr="00EB42B5">
        <w:rPr>
          <w:rFonts w:ascii="Times New Roman" w:eastAsia="Times New Roman" w:hAnsi="Times New Roman" w:cs="Times New Roman"/>
          <w:kern w:val="0"/>
          <w14:ligatures w14:val="none"/>
        </w:rPr>
        <w:t>, to enhance the Secretariat's communication products and institutional visibility.</w:t>
      </w:r>
    </w:p>
    <w:p w14:paraId="571DD983"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also expressed concerns regarding recurring laptop replacements and the possible effects of unstable power supply on institutional equipment.</w:t>
      </w:r>
    </w:p>
    <w:p w14:paraId="2F2E4890"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emphasized the need for improved equipment management and appropriate preventive measures to minimize unnecessary procurement costs.</w:t>
      </w:r>
    </w:p>
    <w:p w14:paraId="1DA28B37"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8. Action Points</w:t>
      </w:r>
    </w:p>
    <w:p w14:paraId="7FC37AB8" w14:textId="10E6F077" w:rsidR="00EB42B5" w:rsidRPr="00EB42B5" w:rsidRDefault="00EB42B5" w:rsidP="00EB42B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Finalize and submit the second-quarter ARD report using the agreed template, ensuring that performance targets and supporting evidence are accurately reflected. – </w:t>
      </w:r>
      <w:r>
        <w:rPr>
          <w:rFonts w:ascii="Times New Roman" w:eastAsia="Times New Roman" w:hAnsi="Times New Roman" w:cs="Times New Roman"/>
          <w:b/>
          <w:bCs/>
          <w:kern w:val="0"/>
          <w14:ligatures w14:val="none"/>
        </w:rPr>
        <w:t>Technical</w:t>
      </w:r>
    </w:p>
    <w:p w14:paraId="0947D876" w14:textId="61DAD5CC" w:rsidR="00EB42B5" w:rsidRPr="00EB42B5" w:rsidRDefault="00EB42B5" w:rsidP="00EB42B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Consolidate partner documentation, upload relevant information to the LEITI website, and reconcile workshop participation records. – </w:t>
      </w:r>
      <w:r w:rsidRPr="00EB42B5">
        <w:rPr>
          <w:rFonts w:ascii="Times New Roman" w:eastAsia="Times New Roman" w:hAnsi="Times New Roman" w:cs="Times New Roman"/>
          <w:b/>
          <w:bCs/>
          <w:kern w:val="0"/>
          <w14:ligatures w14:val="none"/>
        </w:rPr>
        <w:t>Technical/Communications Departments</w:t>
      </w:r>
    </w:p>
    <w:p w14:paraId="2447E4D6" w14:textId="77777777" w:rsidR="00EB42B5" w:rsidRPr="00EB42B5" w:rsidRDefault="00EB42B5" w:rsidP="00EB42B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Follow up on outstanding training invoices, verify travel entitlements, and review applicable project budget adjustments. – </w:t>
      </w:r>
      <w:r w:rsidRPr="00EB42B5">
        <w:rPr>
          <w:rFonts w:ascii="Times New Roman" w:eastAsia="Times New Roman" w:hAnsi="Times New Roman" w:cs="Times New Roman"/>
          <w:b/>
          <w:bCs/>
          <w:kern w:val="0"/>
          <w14:ligatures w14:val="none"/>
        </w:rPr>
        <w:t>Finance/Administration</w:t>
      </w:r>
    </w:p>
    <w:p w14:paraId="7522A188" w14:textId="77777777" w:rsidR="00EB42B5" w:rsidRPr="00EB42B5" w:rsidRDefault="00EB42B5" w:rsidP="00EB42B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Obtain and verify relevant information concerning externally recommended visa consultants before further engagement. – </w:t>
      </w:r>
      <w:r w:rsidRPr="00EB42B5">
        <w:rPr>
          <w:rFonts w:ascii="Times New Roman" w:eastAsia="Times New Roman" w:hAnsi="Times New Roman" w:cs="Times New Roman"/>
          <w:b/>
          <w:bCs/>
          <w:kern w:val="0"/>
          <w14:ligatures w14:val="none"/>
        </w:rPr>
        <w:t>HOS/Administration</w:t>
      </w:r>
    </w:p>
    <w:p w14:paraId="4C9BDCA9" w14:textId="77777777" w:rsidR="00EB42B5" w:rsidRPr="00EB42B5" w:rsidRDefault="00EB42B5" w:rsidP="00EB42B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 xml:space="preserve">Coordinate staff representation and prepare the necessary materials for upcoming technical and institutional engagements. – </w:t>
      </w:r>
      <w:r w:rsidRPr="00EB42B5">
        <w:rPr>
          <w:rFonts w:ascii="Times New Roman" w:eastAsia="Times New Roman" w:hAnsi="Times New Roman" w:cs="Times New Roman"/>
          <w:b/>
          <w:bCs/>
          <w:kern w:val="0"/>
          <w14:ligatures w14:val="none"/>
        </w:rPr>
        <w:t>HOS/Technical Department</w:t>
      </w:r>
    </w:p>
    <w:p w14:paraId="126D1BC9" w14:textId="77777777" w:rsidR="00EB42B5" w:rsidRPr="00EB42B5" w:rsidRDefault="00EB42B5" w:rsidP="00EB42B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lastRenderedPageBreak/>
        <w:t xml:space="preserve">Follow up on communications staff training opportunities and strengthen measures for proper maintenance and protection of institutional equipment. – </w:t>
      </w:r>
      <w:r w:rsidRPr="00EB42B5">
        <w:rPr>
          <w:rFonts w:ascii="Times New Roman" w:eastAsia="Times New Roman" w:hAnsi="Times New Roman" w:cs="Times New Roman"/>
          <w:b/>
          <w:bCs/>
          <w:kern w:val="0"/>
          <w14:ligatures w14:val="none"/>
        </w:rPr>
        <w:t>Communications/Administration</w:t>
      </w:r>
    </w:p>
    <w:p w14:paraId="75FFA04B"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p>
    <w:p w14:paraId="7ECFA011" w14:textId="77777777" w:rsidR="00EB42B5" w:rsidRPr="00EB42B5" w:rsidRDefault="00EB42B5" w:rsidP="00EB42B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EB42B5">
        <w:rPr>
          <w:rFonts w:ascii="Times New Roman" w:eastAsia="Times New Roman" w:hAnsi="Times New Roman" w:cs="Times New Roman"/>
          <w:b/>
          <w:bCs/>
          <w:kern w:val="0"/>
          <w14:ligatures w14:val="none"/>
        </w:rPr>
        <w:t>9. Closing</w:t>
      </w:r>
    </w:p>
    <w:p w14:paraId="7E3CB943"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HOS emphasized the importance of accountability, accurate reporting, and effective coordination in implementing institutional activities.</w:t>
      </w:r>
    </w:p>
    <w:p w14:paraId="7A9C40BD"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He encouraged staff to remain focused on assigned responsibilities and ensure the timely completion of outstanding deliverables.</w:t>
      </w:r>
    </w:p>
    <w:p w14:paraId="576C872C" w14:textId="77777777" w:rsidR="00EB42B5" w:rsidRPr="00EB42B5" w:rsidRDefault="00EB42B5" w:rsidP="00EB42B5">
      <w:pPr>
        <w:spacing w:before="100" w:beforeAutospacing="1" w:after="100" w:afterAutospacing="1" w:line="240" w:lineRule="auto"/>
        <w:rPr>
          <w:rFonts w:ascii="Times New Roman" w:eastAsia="Times New Roman" w:hAnsi="Times New Roman" w:cs="Times New Roman"/>
          <w:kern w:val="0"/>
          <w14:ligatures w14:val="none"/>
        </w:rPr>
      </w:pPr>
      <w:r w:rsidRPr="00EB42B5">
        <w:rPr>
          <w:rFonts w:ascii="Times New Roman" w:eastAsia="Times New Roman" w:hAnsi="Times New Roman" w:cs="Times New Roman"/>
          <w:kern w:val="0"/>
          <w14:ligatures w14:val="none"/>
        </w:rPr>
        <w:t>The meeting was concluded accordingly.</w:t>
      </w:r>
    </w:p>
    <w:p w14:paraId="1FEF10F2" w14:textId="77777777" w:rsidR="00622EA2" w:rsidRDefault="00622EA2"/>
    <w:sectPr w:rsidR="00622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120"/>
    <w:multiLevelType w:val="multilevel"/>
    <w:tmpl w:val="DE70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DF597D"/>
    <w:multiLevelType w:val="multilevel"/>
    <w:tmpl w:val="18305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890296">
    <w:abstractNumId w:val="1"/>
  </w:num>
  <w:num w:numId="2" w16cid:durableId="418714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2B5"/>
    <w:rsid w:val="0048287D"/>
    <w:rsid w:val="00622EA2"/>
    <w:rsid w:val="00EB42B5"/>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AE7DD"/>
  <w15:chartTrackingRefBased/>
  <w15:docId w15:val="{04D1D83D-0971-4EB6-B8D4-91AC60374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2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2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2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2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2B5"/>
    <w:rPr>
      <w:rFonts w:eastAsiaTheme="majorEastAsia" w:cstheme="majorBidi"/>
      <w:color w:val="272727" w:themeColor="text1" w:themeTint="D8"/>
    </w:rPr>
  </w:style>
  <w:style w:type="paragraph" w:styleId="Title">
    <w:name w:val="Title"/>
    <w:basedOn w:val="Normal"/>
    <w:next w:val="Normal"/>
    <w:link w:val="TitleChar"/>
    <w:uiPriority w:val="10"/>
    <w:qFormat/>
    <w:rsid w:val="00EB4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2B5"/>
    <w:pPr>
      <w:spacing w:before="160"/>
      <w:jc w:val="center"/>
    </w:pPr>
    <w:rPr>
      <w:i/>
      <w:iCs/>
      <w:color w:val="404040" w:themeColor="text1" w:themeTint="BF"/>
    </w:rPr>
  </w:style>
  <w:style w:type="character" w:customStyle="1" w:styleId="QuoteChar">
    <w:name w:val="Quote Char"/>
    <w:basedOn w:val="DefaultParagraphFont"/>
    <w:link w:val="Quote"/>
    <w:uiPriority w:val="29"/>
    <w:rsid w:val="00EB42B5"/>
    <w:rPr>
      <w:i/>
      <w:iCs/>
      <w:color w:val="404040" w:themeColor="text1" w:themeTint="BF"/>
    </w:rPr>
  </w:style>
  <w:style w:type="paragraph" w:styleId="ListParagraph">
    <w:name w:val="List Paragraph"/>
    <w:basedOn w:val="Normal"/>
    <w:uiPriority w:val="34"/>
    <w:qFormat/>
    <w:rsid w:val="00EB42B5"/>
    <w:pPr>
      <w:ind w:left="720"/>
      <w:contextualSpacing/>
    </w:pPr>
  </w:style>
  <w:style w:type="character" w:styleId="IntenseEmphasis">
    <w:name w:val="Intense Emphasis"/>
    <w:basedOn w:val="DefaultParagraphFont"/>
    <w:uiPriority w:val="21"/>
    <w:qFormat/>
    <w:rsid w:val="00EB42B5"/>
    <w:rPr>
      <w:i/>
      <w:iCs/>
      <w:color w:val="0F4761" w:themeColor="accent1" w:themeShade="BF"/>
    </w:rPr>
  </w:style>
  <w:style w:type="paragraph" w:styleId="IntenseQuote">
    <w:name w:val="Intense Quote"/>
    <w:basedOn w:val="Normal"/>
    <w:next w:val="Normal"/>
    <w:link w:val="IntenseQuoteChar"/>
    <w:uiPriority w:val="30"/>
    <w:qFormat/>
    <w:rsid w:val="00EB4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2B5"/>
    <w:rPr>
      <w:i/>
      <w:iCs/>
      <w:color w:val="0F4761" w:themeColor="accent1" w:themeShade="BF"/>
    </w:rPr>
  </w:style>
  <w:style w:type="character" w:styleId="IntenseReference">
    <w:name w:val="Intense Reference"/>
    <w:basedOn w:val="DefaultParagraphFont"/>
    <w:uiPriority w:val="32"/>
    <w:qFormat/>
    <w:rsid w:val="00EB42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960</Words>
  <Characters>5477</Characters>
  <Application>Microsoft Office Word</Application>
  <DocSecurity>0</DocSecurity>
  <Lines>45</Lines>
  <Paragraphs>12</Paragraphs>
  <ScaleCrop>false</ScaleCrop>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2026-11-04T10:27:00Z</dcterms:created>
  <dcterms:modified xsi:type="dcterms:W3CDTF">2026-11-04T10:30:00Z</dcterms:modified>
</cp:coreProperties>
</file>