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FA50" w14:textId="77777777" w:rsidR="001A5CAB" w:rsidRPr="00030FD2" w:rsidRDefault="00657650" w:rsidP="00AB137D">
      <w:pPr>
        <w:jc w:val="both"/>
        <w:rPr>
          <w:rFonts w:ascii="Times New Roman" w:hAnsi="Times New Roman" w:cs="Times New Roman"/>
          <w:b/>
          <w:sz w:val="24"/>
          <w:szCs w:val="24"/>
        </w:rPr>
      </w:pPr>
      <w:r w:rsidRPr="00030FD2">
        <w:rPr>
          <w:rFonts w:ascii="Times New Roman" w:hAnsi="Times New Roman" w:cs="Times New Roman"/>
          <w:b/>
          <w:sz w:val="24"/>
          <w:szCs w:val="24"/>
        </w:rPr>
        <w:t xml:space="preserve">MSG’s </w:t>
      </w:r>
      <w:r w:rsidR="001A5CAB" w:rsidRPr="00030FD2">
        <w:rPr>
          <w:rFonts w:ascii="Times New Roman" w:hAnsi="Times New Roman" w:cs="Times New Roman"/>
          <w:b/>
          <w:sz w:val="24"/>
          <w:szCs w:val="24"/>
        </w:rPr>
        <w:t>Response to IA’s Proposal</w:t>
      </w:r>
    </w:p>
    <w:tbl>
      <w:tblPr>
        <w:tblStyle w:val="TableGrid"/>
        <w:tblW w:w="15451" w:type="dxa"/>
        <w:tblInd w:w="-572" w:type="dxa"/>
        <w:tblLayout w:type="fixed"/>
        <w:tblLook w:val="04A0" w:firstRow="1" w:lastRow="0" w:firstColumn="1" w:lastColumn="0" w:noHBand="0" w:noVBand="1"/>
      </w:tblPr>
      <w:tblGrid>
        <w:gridCol w:w="567"/>
        <w:gridCol w:w="2835"/>
        <w:gridCol w:w="9781"/>
        <w:gridCol w:w="2268"/>
      </w:tblGrid>
      <w:tr w:rsidR="00217859" w:rsidRPr="00030FD2" w14:paraId="3CE8AF20" w14:textId="77777777" w:rsidTr="00AB137D">
        <w:tc>
          <w:tcPr>
            <w:tcW w:w="567" w:type="dxa"/>
            <w:shd w:val="clear" w:color="auto" w:fill="E2EFD9" w:themeFill="accent6" w:themeFillTint="33"/>
          </w:tcPr>
          <w:p w14:paraId="59C4B5DD" w14:textId="77777777" w:rsidR="003A29EB" w:rsidRPr="00030FD2" w:rsidRDefault="003A29EB" w:rsidP="00AB137D">
            <w:pPr>
              <w:jc w:val="both"/>
              <w:rPr>
                <w:rFonts w:ascii="Times New Roman" w:hAnsi="Times New Roman" w:cs="Times New Roman"/>
                <w:b/>
                <w:sz w:val="24"/>
                <w:szCs w:val="24"/>
              </w:rPr>
            </w:pPr>
            <w:r w:rsidRPr="00030FD2">
              <w:rPr>
                <w:rFonts w:ascii="Times New Roman" w:hAnsi="Times New Roman" w:cs="Times New Roman"/>
                <w:b/>
                <w:sz w:val="24"/>
                <w:szCs w:val="24"/>
              </w:rPr>
              <w:t>No.</w:t>
            </w:r>
          </w:p>
        </w:tc>
        <w:tc>
          <w:tcPr>
            <w:tcW w:w="2835" w:type="dxa"/>
            <w:shd w:val="clear" w:color="auto" w:fill="E2EFD9" w:themeFill="accent6" w:themeFillTint="33"/>
          </w:tcPr>
          <w:p w14:paraId="6A81C137" w14:textId="77777777" w:rsidR="003A29EB" w:rsidRPr="00030FD2" w:rsidRDefault="003A29EB" w:rsidP="00AB137D">
            <w:pPr>
              <w:jc w:val="both"/>
              <w:rPr>
                <w:rFonts w:ascii="Times New Roman" w:hAnsi="Times New Roman" w:cs="Times New Roman"/>
                <w:b/>
                <w:sz w:val="24"/>
                <w:szCs w:val="24"/>
              </w:rPr>
            </w:pPr>
            <w:r w:rsidRPr="00030FD2">
              <w:rPr>
                <w:rFonts w:ascii="Times New Roman" w:hAnsi="Times New Roman" w:cs="Times New Roman"/>
                <w:b/>
                <w:sz w:val="24"/>
                <w:szCs w:val="24"/>
              </w:rPr>
              <w:t>EITI Requirement</w:t>
            </w:r>
          </w:p>
        </w:tc>
        <w:tc>
          <w:tcPr>
            <w:tcW w:w="9781" w:type="dxa"/>
            <w:shd w:val="clear" w:color="auto" w:fill="E2EFD9" w:themeFill="accent6" w:themeFillTint="33"/>
          </w:tcPr>
          <w:p w14:paraId="0EDE4455" w14:textId="77777777" w:rsidR="003A29EB" w:rsidRPr="00030FD2" w:rsidRDefault="003A29EB" w:rsidP="00AB137D">
            <w:pPr>
              <w:jc w:val="both"/>
              <w:rPr>
                <w:rFonts w:ascii="Times New Roman" w:hAnsi="Times New Roman" w:cs="Times New Roman"/>
                <w:b/>
                <w:sz w:val="24"/>
                <w:szCs w:val="24"/>
              </w:rPr>
            </w:pPr>
            <w:r w:rsidRPr="00030FD2">
              <w:rPr>
                <w:rFonts w:ascii="Times New Roman" w:hAnsi="Times New Roman" w:cs="Times New Roman"/>
                <w:b/>
                <w:sz w:val="24"/>
                <w:szCs w:val="24"/>
              </w:rPr>
              <w:t>IA’s Proposal</w:t>
            </w:r>
          </w:p>
        </w:tc>
        <w:tc>
          <w:tcPr>
            <w:tcW w:w="2268" w:type="dxa"/>
            <w:shd w:val="clear" w:color="auto" w:fill="E2EFD9" w:themeFill="accent6" w:themeFillTint="33"/>
          </w:tcPr>
          <w:p w14:paraId="7FF03330" w14:textId="77777777" w:rsidR="003A29EB" w:rsidRPr="00030FD2" w:rsidRDefault="0065478F" w:rsidP="00AB137D">
            <w:pPr>
              <w:jc w:val="both"/>
              <w:rPr>
                <w:rFonts w:ascii="Times New Roman" w:hAnsi="Times New Roman" w:cs="Times New Roman"/>
                <w:b/>
                <w:sz w:val="24"/>
                <w:szCs w:val="24"/>
              </w:rPr>
            </w:pPr>
            <w:r w:rsidRPr="00030FD2">
              <w:rPr>
                <w:rFonts w:ascii="Times New Roman" w:hAnsi="Times New Roman" w:cs="Times New Roman"/>
                <w:b/>
                <w:sz w:val="24"/>
                <w:szCs w:val="24"/>
              </w:rPr>
              <w:t>MSG’s</w:t>
            </w:r>
            <w:r w:rsidR="003A29EB" w:rsidRPr="00030FD2">
              <w:rPr>
                <w:rFonts w:ascii="Times New Roman" w:hAnsi="Times New Roman" w:cs="Times New Roman"/>
                <w:b/>
                <w:sz w:val="24"/>
                <w:szCs w:val="24"/>
              </w:rPr>
              <w:t xml:space="preserve"> Response</w:t>
            </w:r>
          </w:p>
        </w:tc>
      </w:tr>
      <w:tr w:rsidR="00217859" w:rsidRPr="00030FD2" w14:paraId="612423B7" w14:textId="77777777" w:rsidTr="00AB137D">
        <w:tc>
          <w:tcPr>
            <w:tcW w:w="567" w:type="dxa"/>
          </w:tcPr>
          <w:p w14:paraId="45932DAD" w14:textId="77777777" w:rsidR="003A29EB" w:rsidRPr="00030FD2" w:rsidRDefault="003A29EB" w:rsidP="00AB137D">
            <w:pPr>
              <w:jc w:val="both"/>
              <w:rPr>
                <w:rFonts w:ascii="Times New Roman" w:hAnsi="Times New Roman" w:cs="Times New Roman"/>
                <w:sz w:val="24"/>
                <w:szCs w:val="24"/>
              </w:rPr>
            </w:pPr>
            <w:r w:rsidRPr="00030FD2">
              <w:rPr>
                <w:rFonts w:ascii="Times New Roman" w:hAnsi="Times New Roman" w:cs="Times New Roman"/>
                <w:sz w:val="24"/>
                <w:szCs w:val="24"/>
              </w:rPr>
              <w:t>1.</w:t>
            </w:r>
          </w:p>
        </w:tc>
        <w:tc>
          <w:tcPr>
            <w:tcW w:w="2835" w:type="dxa"/>
          </w:tcPr>
          <w:p w14:paraId="3A4C1187" w14:textId="77777777" w:rsidR="003A29EB" w:rsidRPr="00030FD2" w:rsidRDefault="003A29EB" w:rsidP="00AB137D">
            <w:pPr>
              <w:jc w:val="both"/>
              <w:rPr>
                <w:rFonts w:ascii="Times New Roman" w:hAnsi="Times New Roman" w:cs="Times New Roman"/>
                <w:sz w:val="24"/>
                <w:szCs w:val="24"/>
              </w:rPr>
            </w:pPr>
            <w:r w:rsidRPr="00030FD2">
              <w:rPr>
                <w:rFonts w:ascii="Times New Roman" w:hAnsi="Times New Roman" w:cs="Times New Roman"/>
                <w:sz w:val="24"/>
                <w:szCs w:val="24"/>
              </w:rPr>
              <w:t>Reporting Period (EITI Requirement 4.8)</w:t>
            </w:r>
          </w:p>
        </w:tc>
        <w:tc>
          <w:tcPr>
            <w:tcW w:w="9781" w:type="dxa"/>
          </w:tcPr>
          <w:p w14:paraId="13492D0E" w14:textId="77777777" w:rsidR="003A29EB" w:rsidRPr="00030FD2" w:rsidRDefault="003A29EB" w:rsidP="00AB137D">
            <w:pPr>
              <w:jc w:val="both"/>
              <w:rPr>
                <w:rFonts w:ascii="Times New Roman" w:hAnsi="Times New Roman" w:cs="Times New Roman"/>
                <w:sz w:val="24"/>
                <w:szCs w:val="24"/>
              </w:rPr>
            </w:pPr>
            <w:r w:rsidRPr="00030FD2">
              <w:rPr>
                <w:rFonts w:ascii="Times New Roman" w:hAnsi="Times New Roman" w:cs="Times New Roman"/>
                <w:sz w:val="24"/>
                <w:szCs w:val="24"/>
              </w:rPr>
              <w:t>The 16th LEITI Report covers the period from 1 January to 31 December 2023</w:t>
            </w:r>
          </w:p>
        </w:tc>
        <w:tc>
          <w:tcPr>
            <w:tcW w:w="2268" w:type="dxa"/>
          </w:tcPr>
          <w:p w14:paraId="795230B9" w14:textId="77777777" w:rsidR="003A29EB"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217859" w:rsidRPr="00030FD2" w14:paraId="30E278C5" w14:textId="77777777" w:rsidTr="00AB137D">
        <w:tc>
          <w:tcPr>
            <w:tcW w:w="567" w:type="dxa"/>
          </w:tcPr>
          <w:p w14:paraId="427AFCB8" w14:textId="77777777" w:rsidR="003A29EB" w:rsidRPr="00030FD2" w:rsidRDefault="003A29EB" w:rsidP="00AB137D">
            <w:pPr>
              <w:jc w:val="both"/>
              <w:rPr>
                <w:rFonts w:ascii="Times New Roman" w:hAnsi="Times New Roman" w:cs="Times New Roman"/>
                <w:sz w:val="24"/>
                <w:szCs w:val="24"/>
              </w:rPr>
            </w:pPr>
            <w:r w:rsidRPr="00030FD2">
              <w:rPr>
                <w:rFonts w:ascii="Times New Roman" w:hAnsi="Times New Roman" w:cs="Times New Roman"/>
                <w:sz w:val="24"/>
                <w:szCs w:val="24"/>
              </w:rPr>
              <w:t>2.</w:t>
            </w:r>
          </w:p>
        </w:tc>
        <w:tc>
          <w:tcPr>
            <w:tcW w:w="2835" w:type="dxa"/>
          </w:tcPr>
          <w:p w14:paraId="033E0580" w14:textId="77777777" w:rsidR="003A29EB" w:rsidRPr="00030FD2" w:rsidRDefault="003A29EB" w:rsidP="00AB137D">
            <w:pPr>
              <w:jc w:val="both"/>
              <w:rPr>
                <w:rFonts w:ascii="Times New Roman" w:hAnsi="Times New Roman" w:cs="Times New Roman"/>
                <w:sz w:val="24"/>
                <w:szCs w:val="24"/>
              </w:rPr>
            </w:pPr>
            <w:r w:rsidRPr="00030FD2">
              <w:rPr>
                <w:rFonts w:ascii="Times New Roman" w:hAnsi="Times New Roman" w:cs="Times New Roman"/>
                <w:sz w:val="24"/>
                <w:szCs w:val="24"/>
              </w:rPr>
              <w:t>Level of Disaggregation (EITI Requirement 4.7)</w:t>
            </w:r>
          </w:p>
        </w:tc>
        <w:tc>
          <w:tcPr>
            <w:tcW w:w="9781" w:type="dxa"/>
          </w:tcPr>
          <w:p w14:paraId="7D65AD21" w14:textId="77777777" w:rsidR="003A29EB" w:rsidRPr="00030FD2" w:rsidRDefault="003A29EB" w:rsidP="00AB137D">
            <w:pPr>
              <w:jc w:val="both"/>
              <w:rPr>
                <w:rFonts w:ascii="Times New Roman" w:hAnsi="Times New Roman" w:cs="Times New Roman"/>
                <w:sz w:val="24"/>
                <w:szCs w:val="24"/>
              </w:rPr>
            </w:pPr>
            <w:r w:rsidRPr="00030FD2">
              <w:rPr>
                <w:rFonts w:ascii="Times New Roman" w:hAnsi="Times New Roman" w:cs="Times New Roman"/>
                <w:sz w:val="24"/>
                <w:szCs w:val="24"/>
              </w:rPr>
              <w:t>The reporting entities included in the reporting scope will be asked t</w:t>
            </w:r>
            <w:r w:rsidR="00E55426" w:rsidRPr="00030FD2">
              <w:rPr>
                <w:rFonts w:ascii="Times New Roman" w:hAnsi="Times New Roman" w:cs="Times New Roman"/>
                <w:sz w:val="24"/>
                <w:szCs w:val="24"/>
              </w:rPr>
              <w:t>o disclose</w:t>
            </w:r>
            <w:r w:rsidR="004B2BBD" w:rsidRPr="00030FD2">
              <w:rPr>
                <w:rFonts w:ascii="Times New Roman" w:hAnsi="Times New Roman" w:cs="Times New Roman"/>
                <w:sz w:val="24"/>
                <w:szCs w:val="24"/>
              </w:rPr>
              <w:t xml:space="preserve"> their data:</w:t>
            </w:r>
            <w:r w:rsidRPr="00030FD2">
              <w:rPr>
                <w:rFonts w:ascii="Times New Roman" w:hAnsi="Times New Roman" w:cs="Times New Roman"/>
                <w:sz w:val="24"/>
                <w:szCs w:val="24"/>
              </w:rPr>
              <w:t xml:space="preserve"> by administration or public entity for each company retained in the reconciliation scope; by company (or taxpayer) for public entities included in the reporting scope; by type of flow for all reporting entities; and by project for all reporting companies.</w:t>
            </w:r>
          </w:p>
        </w:tc>
        <w:tc>
          <w:tcPr>
            <w:tcW w:w="2268" w:type="dxa"/>
          </w:tcPr>
          <w:p w14:paraId="40AFBC95" w14:textId="77777777" w:rsidR="003A29EB"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ED2B1A" w:rsidRPr="00030FD2" w14:paraId="370B3AFD" w14:textId="77777777" w:rsidTr="00AB137D">
        <w:tc>
          <w:tcPr>
            <w:tcW w:w="567" w:type="dxa"/>
          </w:tcPr>
          <w:p w14:paraId="7B3FF2D5" w14:textId="77777777" w:rsidR="003A29EB" w:rsidRPr="00030FD2" w:rsidRDefault="003A29EB" w:rsidP="00AB137D">
            <w:pPr>
              <w:jc w:val="both"/>
              <w:rPr>
                <w:rFonts w:ascii="Times New Roman" w:hAnsi="Times New Roman" w:cs="Times New Roman"/>
                <w:sz w:val="24"/>
                <w:szCs w:val="24"/>
              </w:rPr>
            </w:pPr>
            <w:r w:rsidRPr="00030FD2">
              <w:rPr>
                <w:rFonts w:ascii="Times New Roman" w:hAnsi="Times New Roman" w:cs="Times New Roman"/>
                <w:sz w:val="24"/>
                <w:szCs w:val="24"/>
              </w:rPr>
              <w:t>3.</w:t>
            </w:r>
          </w:p>
        </w:tc>
        <w:tc>
          <w:tcPr>
            <w:tcW w:w="2835" w:type="dxa"/>
          </w:tcPr>
          <w:p w14:paraId="5F53CA57" w14:textId="77777777" w:rsidR="003A29EB" w:rsidRPr="00030FD2" w:rsidRDefault="003A29EB" w:rsidP="00AB137D">
            <w:pPr>
              <w:jc w:val="both"/>
              <w:rPr>
                <w:rFonts w:ascii="Times New Roman" w:hAnsi="Times New Roman" w:cs="Times New Roman"/>
                <w:sz w:val="24"/>
                <w:szCs w:val="24"/>
              </w:rPr>
            </w:pPr>
            <w:r w:rsidRPr="00030FD2">
              <w:rPr>
                <w:rFonts w:ascii="Times New Roman" w:hAnsi="Times New Roman" w:cs="Times New Roman"/>
                <w:sz w:val="24"/>
                <w:szCs w:val="24"/>
              </w:rPr>
              <w:t>Production and export data (EITI Requirements 3.2 and 3.3)</w:t>
            </w:r>
          </w:p>
        </w:tc>
        <w:tc>
          <w:tcPr>
            <w:tcW w:w="9781" w:type="dxa"/>
          </w:tcPr>
          <w:p w14:paraId="2C865A47" w14:textId="77777777" w:rsidR="003A29EB" w:rsidRPr="00030FD2" w:rsidRDefault="003A29EB" w:rsidP="00E55426">
            <w:pPr>
              <w:jc w:val="both"/>
              <w:rPr>
                <w:rFonts w:ascii="Times New Roman" w:hAnsi="Times New Roman" w:cs="Times New Roman"/>
                <w:sz w:val="24"/>
                <w:szCs w:val="24"/>
              </w:rPr>
            </w:pPr>
            <w:r w:rsidRPr="00030FD2">
              <w:rPr>
                <w:rFonts w:ascii="Times New Roman" w:hAnsi="Times New Roman" w:cs="Times New Roman"/>
                <w:sz w:val="24"/>
                <w:szCs w:val="24"/>
              </w:rPr>
              <w:t xml:space="preserve">Reporting entities will </w:t>
            </w:r>
            <w:r w:rsidR="00E55426" w:rsidRPr="00030FD2">
              <w:rPr>
                <w:rFonts w:ascii="Times New Roman" w:hAnsi="Times New Roman" w:cs="Times New Roman"/>
                <w:sz w:val="24"/>
                <w:szCs w:val="24"/>
              </w:rPr>
              <w:t>also be</w:t>
            </w:r>
            <w:r w:rsidRPr="00030FD2">
              <w:rPr>
                <w:rFonts w:ascii="Times New Roman" w:hAnsi="Times New Roman" w:cs="Times New Roman"/>
                <w:sz w:val="24"/>
                <w:szCs w:val="24"/>
              </w:rPr>
              <w:t xml:space="preserve"> asked to report data on production and exports by project.</w:t>
            </w:r>
          </w:p>
        </w:tc>
        <w:tc>
          <w:tcPr>
            <w:tcW w:w="2268" w:type="dxa"/>
          </w:tcPr>
          <w:p w14:paraId="39421422" w14:textId="77777777" w:rsidR="003A29EB"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ED2B1A" w:rsidRPr="00030FD2" w14:paraId="6E67D674" w14:textId="77777777" w:rsidTr="00AB137D">
        <w:tc>
          <w:tcPr>
            <w:tcW w:w="567" w:type="dxa"/>
          </w:tcPr>
          <w:p w14:paraId="44E2BF32" w14:textId="77777777" w:rsidR="003A29EB" w:rsidRPr="00030FD2" w:rsidRDefault="003A29EB" w:rsidP="00AB137D">
            <w:pPr>
              <w:jc w:val="both"/>
              <w:rPr>
                <w:rFonts w:ascii="Times New Roman" w:hAnsi="Times New Roman" w:cs="Times New Roman"/>
                <w:sz w:val="24"/>
                <w:szCs w:val="24"/>
              </w:rPr>
            </w:pPr>
            <w:bookmarkStart w:id="0" w:name="_Hlk213083268"/>
            <w:r w:rsidRPr="00030FD2">
              <w:rPr>
                <w:rFonts w:ascii="Times New Roman" w:hAnsi="Times New Roman" w:cs="Times New Roman"/>
                <w:sz w:val="24"/>
                <w:szCs w:val="24"/>
              </w:rPr>
              <w:t>4.</w:t>
            </w:r>
          </w:p>
        </w:tc>
        <w:tc>
          <w:tcPr>
            <w:tcW w:w="2835" w:type="dxa"/>
          </w:tcPr>
          <w:p w14:paraId="49CDBF59" w14:textId="7AEE1C78" w:rsidR="003A29EB" w:rsidRPr="00030FD2" w:rsidRDefault="003A29EB" w:rsidP="00AB137D">
            <w:pPr>
              <w:jc w:val="both"/>
              <w:rPr>
                <w:rFonts w:ascii="Times New Roman" w:hAnsi="Times New Roman" w:cs="Times New Roman"/>
                <w:sz w:val="24"/>
                <w:szCs w:val="24"/>
              </w:rPr>
            </w:pPr>
            <w:r w:rsidRPr="00030FD2">
              <w:rPr>
                <w:rFonts w:ascii="Times New Roman" w:hAnsi="Times New Roman" w:cs="Times New Roman"/>
                <w:sz w:val="24"/>
                <w:szCs w:val="24"/>
              </w:rPr>
              <w:t>Comprehensive disclosure of taxes and revenues (EITI Requirement 4.1)</w:t>
            </w:r>
            <w:r w:rsidR="00DB7BB3">
              <w:rPr>
                <w:rFonts w:ascii="Times New Roman" w:hAnsi="Times New Roman" w:cs="Times New Roman"/>
                <w:sz w:val="24"/>
                <w:szCs w:val="24"/>
              </w:rPr>
              <w:t>,</w:t>
            </w:r>
            <w:r w:rsidRPr="00030FD2">
              <w:rPr>
                <w:rFonts w:ascii="Times New Roman" w:hAnsi="Times New Roman" w:cs="Times New Roman"/>
                <w:sz w:val="24"/>
                <w:szCs w:val="24"/>
              </w:rPr>
              <w:t xml:space="preserve"> Government agencies</w:t>
            </w:r>
          </w:p>
        </w:tc>
        <w:tc>
          <w:tcPr>
            <w:tcW w:w="9781" w:type="dxa"/>
          </w:tcPr>
          <w:p w14:paraId="75329F88" w14:textId="728D7637" w:rsidR="003A29EB" w:rsidRPr="00030FD2" w:rsidRDefault="003A29EB" w:rsidP="00AB137D">
            <w:pPr>
              <w:jc w:val="both"/>
              <w:rPr>
                <w:rFonts w:ascii="Times New Roman" w:hAnsi="Times New Roman" w:cs="Times New Roman"/>
                <w:sz w:val="24"/>
                <w:szCs w:val="24"/>
              </w:rPr>
            </w:pPr>
            <w:r w:rsidRPr="00030FD2">
              <w:rPr>
                <w:rFonts w:ascii="Times New Roman" w:hAnsi="Times New Roman" w:cs="Times New Roman"/>
                <w:sz w:val="24"/>
                <w:szCs w:val="24"/>
              </w:rPr>
              <w:t xml:space="preserve">We propose </w:t>
            </w:r>
            <w:r w:rsidR="00DB7BB3">
              <w:rPr>
                <w:rFonts w:ascii="Times New Roman" w:hAnsi="Times New Roman" w:cs="Times New Roman"/>
                <w:sz w:val="24"/>
                <w:szCs w:val="24"/>
              </w:rPr>
              <w:t>including revenue streams collected by LRA in the reconciliation scope,</w:t>
            </w:r>
            <w:r w:rsidRPr="00030FD2">
              <w:rPr>
                <w:rFonts w:ascii="Times New Roman" w:hAnsi="Times New Roman" w:cs="Times New Roman"/>
                <w:sz w:val="24"/>
                <w:szCs w:val="24"/>
              </w:rPr>
              <w:t xml:space="preserve"> according to the materiality threshold applied for each sector. We also propose including the revenue streams collected by </w:t>
            </w:r>
            <w:r w:rsidR="00DB7BB3">
              <w:rPr>
                <w:rFonts w:ascii="Times New Roman" w:hAnsi="Times New Roman" w:cs="Times New Roman"/>
                <w:sz w:val="24"/>
                <w:szCs w:val="24"/>
              </w:rPr>
              <w:t xml:space="preserve">the </w:t>
            </w:r>
            <w:r w:rsidRPr="00030FD2">
              <w:rPr>
                <w:rFonts w:ascii="Times New Roman" w:hAnsi="Times New Roman" w:cs="Times New Roman"/>
                <w:sz w:val="24"/>
                <w:szCs w:val="24"/>
              </w:rPr>
              <w:t>EPA through unilateral disclosure by government agencies. Additionally, we recommend retaining the revenue streams collected by NPA to ensure consistency, as they were covered in the LEITI 15th report, through unilateral disclosure by government agencies.</w:t>
            </w:r>
          </w:p>
        </w:tc>
        <w:tc>
          <w:tcPr>
            <w:tcW w:w="2268" w:type="dxa"/>
          </w:tcPr>
          <w:p w14:paraId="321F1B52" w14:textId="77777777" w:rsidR="003A29EB"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ED2B1A" w:rsidRPr="00030FD2" w14:paraId="649FEB61" w14:textId="77777777" w:rsidTr="00AB137D">
        <w:tc>
          <w:tcPr>
            <w:tcW w:w="567" w:type="dxa"/>
          </w:tcPr>
          <w:p w14:paraId="209B0CCA" w14:textId="77777777" w:rsidR="003A29EB" w:rsidRPr="00030FD2" w:rsidRDefault="00505EE4" w:rsidP="00AB137D">
            <w:pPr>
              <w:jc w:val="both"/>
              <w:rPr>
                <w:rFonts w:ascii="Times New Roman" w:hAnsi="Times New Roman" w:cs="Times New Roman"/>
                <w:sz w:val="24"/>
                <w:szCs w:val="24"/>
              </w:rPr>
            </w:pPr>
            <w:bookmarkStart w:id="1" w:name="_Hlk213083506"/>
            <w:bookmarkEnd w:id="0"/>
            <w:r w:rsidRPr="00030FD2">
              <w:rPr>
                <w:rFonts w:ascii="Times New Roman" w:hAnsi="Times New Roman" w:cs="Times New Roman"/>
                <w:sz w:val="24"/>
                <w:szCs w:val="24"/>
              </w:rPr>
              <w:t>5.</w:t>
            </w:r>
          </w:p>
        </w:tc>
        <w:tc>
          <w:tcPr>
            <w:tcW w:w="2835" w:type="dxa"/>
          </w:tcPr>
          <w:p w14:paraId="7746638B" w14:textId="77777777" w:rsidR="003A29EB" w:rsidRPr="00030FD2" w:rsidRDefault="00505EE4" w:rsidP="00AB137D">
            <w:pPr>
              <w:jc w:val="both"/>
              <w:rPr>
                <w:rFonts w:ascii="Times New Roman" w:hAnsi="Times New Roman" w:cs="Times New Roman"/>
                <w:sz w:val="24"/>
                <w:szCs w:val="24"/>
              </w:rPr>
            </w:pPr>
            <w:r w:rsidRPr="00030FD2">
              <w:rPr>
                <w:rFonts w:ascii="Times New Roman" w:hAnsi="Times New Roman" w:cs="Times New Roman"/>
                <w:sz w:val="24"/>
                <w:szCs w:val="24"/>
              </w:rPr>
              <w:t>Comprehensive disclosure of taxes and revenues, Mining sector (EITI Requirement 4.1)</w:t>
            </w:r>
          </w:p>
        </w:tc>
        <w:tc>
          <w:tcPr>
            <w:tcW w:w="9781" w:type="dxa"/>
          </w:tcPr>
          <w:p w14:paraId="6265B43E" w14:textId="6E6DFD08" w:rsidR="003A29EB" w:rsidRPr="00030FD2" w:rsidRDefault="00505EE4" w:rsidP="0032041F">
            <w:pPr>
              <w:jc w:val="both"/>
              <w:rPr>
                <w:rFonts w:ascii="Times New Roman" w:hAnsi="Times New Roman" w:cs="Times New Roman"/>
                <w:sz w:val="24"/>
                <w:szCs w:val="24"/>
              </w:rPr>
            </w:pPr>
            <w:r w:rsidRPr="00030FD2">
              <w:rPr>
                <w:rFonts w:ascii="Times New Roman" w:hAnsi="Times New Roman" w:cs="Times New Roman"/>
                <w:sz w:val="24"/>
                <w:szCs w:val="24"/>
              </w:rPr>
              <w:t xml:space="preserve">We propose </w:t>
            </w:r>
            <w:r w:rsidR="00E55426" w:rsidRPr="00030FD2">
              <w:rPr>
                <w:rFonts w:ascii="Times New Roman" w:hAnsi="Times New Roman" w:cs="Times New Roman"/>
                <w:sz w:val="24"/>
                <w:szCs w:val="24"/>
              </w:rPr>
              <w:t>including revenue streams that</w:t>
            </w:r>
            <w:r w:rsidRPr="00030FD2">
              <w:rPr>
                <w:rFonts w:ascii="Times New Roman" w:hAnsi="Times New Roman" w:cs="Times New Roman"/>
                <w:sz w:val="24"/>
                <w:szCs w:val="24"/>
              </w:rPr>
              <w:t xml:space="preserve"> contributed over 1% to total government revenues in the reconciliation scope. This option would </w:t>
            </w:r>
            <w:r w:rsidR="00DB7BB3">
              <w:rPr>
                <w:rFonts w:ascii="Times New Roman" w:hAnsi="Times New Roman" w:cs="Times New Roman"/>
                <w:sz w:val="24"/>
                <w:szCs w:val="24"/>
              </w:rPr>
              <w:t>result in a coverage rate of 93.1% of revenues collected by LRA in</w:t>
            </w:r>
            <w:r w:rsidRPr="00030FD2">
              <w:rPr>
                <w:rFonts w:ascii="Times New Roman" w:hAnsi="Times New Roman" w:cs="Times New Roman"/>
                <w:sz w:val="24"/>
                <w:szCs w:val="24"/>
              </w:rPr>
              <w:t xml:space="preserve"> 2023. Eleven revenue streams should be reconciled: 1. WH (Res.) on salaries and wages 2. Royalties</w:t>
            </w:r>
            <w:r w:rsidR="00DB7BB3">
              <w:rPr>
                <w:rFonts w:ascii="Times New Roman" w:hAnsi="Times New Roman" w:cs="Times New Roman"/>
                <w:sz w:val="24"/>
                <w:szCs w:val="24"/>
              </w:rPr>
              <w:t>, Gold,</w:t>
            </w:r>
            <w:r w:rsidRPr="00030FD2">
              <w:rPr>
                <w:rFonts w:ascii="Times New Roman" w:hAnsi="Times New Roman" w:cs="Times New Roman"/>
                <w:sz w:val="24"/>
                <w:szCs w:val="24"/>
              </w:rPr>
              <w:t xml:space="preserve"> and other base metals - Other (Agreements) (mineral mining) 3. Social contributions (mineral mining) 4. WH (Res.) on payments for services rendered 5. Other import duties 6. Royalties</w:t>
            </w:r>
            <w:r w:rsidR="0032041F" w:rsidRPr="00030FD2">
              <w:rPr>
                <w:rFonts w:ascii="Times New Roman" w:hAnsi="Times New Roman" w:cs="Times New Roman"/>
                <w:sz w:val="24"/>
                <w:szCs w:val="24"/>
              </w:rPr>
              <w:t>, gold, and other base metals,</w:t>
            </w:r>
            <w:r w:rsidRPr="00030FD2">
              <w:rPr>
                <w:rFonts w:ascii="Times New Roman" w:hAnsi="Times New Roman" w:cs="Times New Roman"/>
                <w:sz w:val="24"/>
                <w:szCs w:val="24"/>
              </w:rPr>
              <w:t xml:space="preserve"> 3% (mineral mining) 7. Other fees/licenses 8. ECOWAS trade levy 9. Admin. Penalties on WH non-residents 10. Presumptive (small tax) (4%) (200c) 11. Signature bonuses (mineral mining)</w:t>
            </w:r>
          </w:p>
        </w:tc>
        <w:tc>
          <w:tcPr>
            <w:tcW w:w="2268" w:type="dxa"/>
          </w:tcPr>
          <w:p w14:paraId="72C0AC53" w14:textId="77777777" w:rsidR="003A29EB"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bookmarkEnd w:id="1"/>
      <w:tr w:rsidR="00ED2B1A" w:rsidRPr="00030FD2" w14:paraId="17E9C215" w14:textId="77777777" w:rsidTr="00AB137D">
        <w:tc>
          <w:tcPr>
            <w:tcW w:w="567" w:type="dxa"/>
          </w:tcPr>
          <w:p w14:paraId="6615D28F" w14:textId="77777777" w:rsidR="003A29EB" w:rsidRPr="00030FD2" w:rsidRDefault="00505EE4" w:rsidP="00AB137D">
            <w:pPr>
              <w:jc w:val="both"/>
              <w:rPr>
                <w:rFonts w:ascii="Times New Roman" w:hAnsi="Times New Roman" w:cs="Times New Roman"/>
                <w:sz w:val="24"/>
                <w:szCs w:val="24"/>
              </w:rPr>
            </w:pPr>
            <w:r w:rsidRPr="00030FD2">
              <w:rPr>
                <w:rFonts w:ascii="Times New Roman" w:hAnsi="Times New Roman" w:cs="Times New Roman"/>
                <w:sz w:val="24"/>
                <w:szCs w:val="24"/>
              </w:rPr>
              <w:t>6.</w:t>
            </w:r>
          </w:p>
        </w:tc>
        <w:tc>
          <w:tcPr>
            <w:tcW w:w="2835" w:type="dxa"/>
          </w:tcPr>
          <w:p w14:paraId="6E3BAE7C" w14:textId="77777777" w:rsidR="003A29EB" w:rsidRPr="00030FD2" w:rsidRDefault="00505EE4" w:rsidP="00AB137D">
            <w:pPr>
              <w:jc w:val="both"/>
              <w:rPr>
                <w:rFonts w:ascii="Times New Roman" w:hAnsi="Times New Roman" w:cs="Times New Roman"/>
                <w:sz w:val="24"/>
                <w:szCs w:val="24"/>
              </w:rPr>
            </w:pPr>
            <w:r w:rsidRPr="00030FD2">
              <w:rPr>
                <w:rFonts w:ascii="Times New Roman" w:hAnsi="Times New Roman" w:cs="Times New Roman"/>
                <w:sz w:val="24"/>
                <w:szCs w:val="24"/>
              </w:rPr>
              <w:t>Comprehensive disclosure of taxes and revenues, Agriculture sector (EITI Requirement 4.1)</w:t>
            </w:r>
          </w:p>
        </w:tc>
        <w:tc>
          <w:tcPr>
            <w:tcW w:w="9781" w:type="dxa"/>
          </w:tcPr>
          <w:p w14:paraId="02A1B287" w14:textId="4DC222C5" w:rsidR="003A29EB" w:rsidRPr="00030FD2" w:rsidRDefault="00505EE4" w:rsidP="00E55426">
            <w:pPr>
              <w:jc w:val="both"/>
              <w:rPr>
                <w:rFonts w:ascii="Times New Roman" w:hAnsi="Times New Roman" w:cs="Times New Roman"/>
                <w:sz w:val="24"/>
                <w:szCs w:val="24"/>
              </w:rPr>
            </w:pPr>
            <w:r w:rsidRPr="00030FD2">
              <w:rPr>
                <w:rFonts w:ascii="Times New Roman" w:hAnsi="Times New Roman" w:cs="Times New Roman"/>
                <w:sz w:val="24"/>
                <w:szCs w:val="24"/>
              </w:rPr>
              <w:t xml:space="preserve">We propose </w:t>
            </w:r>
            <w:r w:rsidR="00E55426" w:rsidRPr="00030FD2">
              <w:rPr>
                <w:rFonts w:ascii="Times New Roman" w:hAnsi="Times New Roman" w:cs="Times New Roman"/>
                <w:sz w:val="24"/>
                <w:szCs w:val="24"/>
              </w:rPr>
              <w:t>including revenue streams that</w:t>
            </w:r>
            <w:r w:rsidRPr="00030FD2">
              <w:rPr>
                <w:rFonts w:ascii="Times New Roman" w:hAnsi="Times New Roman" w:cs="Times New Roman"/>
                <w:sz w:val="24"/>
                <w:szCs w:val="24"/>
              </w:rPr>
              <w:t xml:space="preserve"> contributed over 1% to total government revenues in the reconciliation scope. This option would </w:t>
            </w:r>
            <w:r w:rsidR="00DB7BB3">
              <w:rPr>
                <w:rFonts w:ascii="Times New Roman" w:hAnsi="Times New Roman" w:cs="Times New Roman"/>
                <w:sz w:val="24"/>
                <w:szCs w:val="24"/>
              </w:rPr>
              <w:t>result in a coverage rate of 94.7% of the revenues collected by LRA in</w:t>
            </w:r>
            <w:r w:rsidRPr="00030FD2">
              <w:rPr>
                <w:rFonts w:ascii="Times New Roman" w:hAnsi="Times New Roman" w:cs="Times New Roman"/>
                <w:sz w:val="24"/>
                <w:szCs w:val="24"/>
              </w:rPr>
              <w:t xml:space="preserve"> 2023. Nine revenue streams should be reconciled: 1. WH (Res.) on salaries and wages 2. WH (Res.) on payments for serv. rendered 3. CIT Regular (25%) (200b2C) 4. WH (Res.) of income on rubber sales 4% 5. Customs user fees 6. Surface rental (agriculture) 7. Farm use in urban areas 8. ECOWAS trade levy 9. Annual Vehicle Registration Sticker</w:t>
            </w:r>
          </w:p>
        </w:tc>
        <w:tc>
          <w:tcPr>
            <w:tcW w:w="2268" w:type="dxa"/>
          </w:tcPr>
          <w:p w14:paraId="104A92AD" w14:textId="77777777" w:rsidR="003A29EB"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505EE4" w:rsidRPr="00030FD2" w14:paraId="78F7215B" w14:textId="77777777" w:rsidTr="00AB137D">
        <w:tc>
          <w:tcPr>
            <w:tcW w:w="567" w:type="dxa"/>
          </w:tcPr>
          <w:p w14:paraId="7DC751D4" w14:textId="77777777" w:rsidR="00505EE4" w:rsidRPr="00030FD2" w:rsidRDefault="00505EE4" w:rsidP="00AB137D">
            <w:pPr>
              <w:jc w:val="both"/>
              <w:rPr>
                <w:rFonts w:ascii="Times New Roman" w:hAnsi="Times New Roman" w:cs="Times New Roman"/>
                <w:sz w:val="24"/>
                <w:szCs w:val="24"/>
              </w:rPr>
            </w:pPr>
            <w:r w:rsidRPr="00030FD2">
              <w:rPr>
                <w:rFonts w:ascii="Times New Roman" w:hAnsi="Times New Roman" w:cs="Times New Roman"/>
                <w:sz w:val="24"/>
                <w:szCs w:val="24"/>
              </w:rPr>
              <w:lastRenderedPageBreak/>
              <w:t>7.</w:t>
            </w:r>
          </w:p>
        </w:tc>
        <w:tc>
          <w:tcPr>
            <w:tcW w:w="2835" w:type="dxa"/>
          </w:tcPr>
          <w:p w14:paraId="629B26AD" w14:textId="77777777" w:rsidR="00505EE4" w:rsidRPr="00030FD2" w:rsidRDefault="00505EE4" w:rsidP="00AB137D">
            <w:pPr>
              <w:jc w:val="both"/>
              <w:rPr>
                <w:rFonts w:ascii="Times New Roman" w:hAnsi="Times New Roman" w:cs="Times New Roman"/>
                <w:sz w:val="24"/>
                <w:szCs w:val="24"/>
              </w:rPr>
            </w:pPr>
            <w:r w:rsidRPr="00030FD2">
              <w:rPr>
                <w:rFonts w:ascii="Times New Roman" w:hAnsi="Times New Roman" w:cs="Times New Roman"/>
                <w:sz w:val="24"/>
                <w:szCs w:val="24"/>
              </w:rPr>
              <w:t>Comprehensive disclosure of taxes and revenues, Forestry sector (EITI Requirement 4.1)</w:t>
            </w:r>
          </w:p>
        </w:tc>
        <w:tc>
          <w:tcPr>
            <w:tcW w:w="9781" w:type="dxa"/>
          </w:tcPr>
          <w:p w14:paraId="7527B401" w14:textId="77777777" w:rsidR="00505EE4" w:rsidRPr="00030FD2" w:rsidRDefault="00505EE4" w:rsidP="00E55426">
            <w:pPr>
              <w:jc w:val="both"/>
              <w:rPr>
                <w:rFonts w:ascii="Times New Roman" w:hAnsi="Times New Roman" w:cs="Times New Roman"/>
                <w:sz w:val="24"/>
                <w:szCs w:val="24"/>
              </w:rPr>
            </w:pPr>
            <w:r w:rsidRPr="00030FD2">
              <w:rPr>
                <w:rFonts w:ascii="Times New Roman" w:hAnsi="Times New Roman" w:cs="Times New Roman"/>
                <w:sz w:val="24"/>
                <w:szCs w:val="24"/>
              </w:rPr>
              <w:t xml:space="preserve">We propose </w:t>
            </w:r>
            <w:r w:rsidR="00E55426" w:rsidRPr="00030FD2">
              <w:rPr>
                <w:rFonts w:ascii="Times New Roman" w:hAnsi="Times New Roman" w:cs="Times New Roman"/>
                <w:sz w:val="24"/>
                <w:szCs w:val="24"/>
              </w:rPr>
              <w:t>including revenue streams that</w:t>
            </w:r>
            <w:r w:rsidRPr="00030FD2">
              <w:rPr>
                <w:rFonts w:ascii="Times New Roman" w:hAnsi="Times New Roman" w:cs="Times New Roman"/>
                <w:sz w:val="24"/>
                <w:szCs w:val="24"/>
              </w:rPr>
              <w:t xml:space="preserve"> contributed over 1% to total government revenues in the reconciliation scope. This option would lead to a coverage of 92.3% of revenues collected by LRA during 2023. Seven revenue streams should be reconciled: 1. Stumpage fees </w:t>
            </w:r>
            <w:proofErr w:type="spellStart"/>
            <w:r w:rsidRPr="00030FD2">
              <w:rPr>
                <w:rFonts w:ascii="Times New Roman" w:hAnsi="Times New Roman" w:cs="Times New Roman"/>
                <w:sz w:val="24"/>
                <w:szCs w:val="24"/>
              </w:rPr>
              <w:t>GoL</w:t>
            </w:r>
            <w:proofErr w:type="spellEnd"/>
            <w:r w:rsidRPr="00030FD2">
              <w:rPr>
                <w:rFonts w:ascii="Times New Roman" w:hAnsi="Times New Roman" w:cs="Times New Roman"/>
                <w:sz w:val="24"/>
                <w:szCs w:val="24"/>
              </w:rPr>
              <w:t xml:space="preserve"> share (FDA regulation 107-7 section 22b) (Forestry - FMCs) 2. Log and wood product export fee (FDA regulation 107-7 section 44-45) (Forestry - FMCs) 3. CIT Regular (25%) (200b2C) 4. Area fees (forestry – FMCs) 5. WH (Res.) on salaries and wages 6. Other fees (forestry – FMCs) 7. GST on imported goods (excluding petroleum)</w:t>
            </w:r>
          </w:p>
        </w:tc>
        <w:tc>
          <w:tcPr>
            <w:tcW w:w="2268" w:type="dxa"/>
          </w:tcPr>
          <w:p w14:paraId="0F317F8E" w14:textId="77777777" w:rsidR="00505EE4"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505EE4" w:rsidRPr="00030FD2" w14:paraId="4B4869D9" w14:textId="77777777" w:rsidTr="00AB137D">
        <w:tc>
          <w:tcPr>
            <w:tcW w:w="567" w:type="dxa"/>
          </w:tcPr>
          <w:p w14:paraId="3BC797CB" w14:textId="77777777" w:rsidR="00505EE4" w:rsidRPr="00030FD2" w:rsidRDefault="00505EE4" w:rsidP="00AB137D">
            <w:pPr>
              <w:jc w:val="both"/>
              <w:rPr>
                <w:rFonts w:ascii="Times New Roman" w:hAnsi="Times New Roman" w:cs="Times New Roman"/>
                <w:sz w:val="24"/>
                <w:szCs w:val="24"/>
              </w:rPr>
            </w:pPr>
            <w:r w:rsidRPr="00030FD2">
              <w:rPr>
                <w:rFonts w:ascii="Times New Roman" w:hAnsi="Times New Roman" w:cs="Times New Roman"/>
                <w:sz w:val="24"/>
                <w:szCs w:val="24"/>
              </w:rPr>
              <w:t>8.</w:t>
            </w:r>
          </w:p>
        </w:tc>
        <w:tc>
          <w:tcPr>
            <w:tcW w:w="2835" w:type="dxa"/>
          </w:tcPr>
          <w:p w14:paraId="73172AC6" w14:textId="77777777" w:rsidR="00505EE4" w:rsidRPr="00030FD2" w:rsidRDefault="00505EE4" w:rsidP="00AB137D">
            <w:pPr>
              <w:jc w:val="both"/>
              <w:rPr>
                <w:rFonts w:ascii="Times New Roman" w:hAnsi="Times New Roman" w:cs="Times New Roman"/>
                <w:sz w:val="24"/>
                <w:szCs w:val="24"/>
              </w:rPr>
            </w:pPr>
            <w:r w:rsidRPr="00030FD2">
              <w:rPr>
                <w:rFonts w:ascii="Times New Roman" w:hAnsi="Times New Roman" w:cs="Times New Roman"/>
                <w:sz w:val="24"/>
                <w:szCs w:val="24"/>
              </w:rPr>
              <w:t>Comprehensive disclosure of taxes and revenues, oil and gas sector (EITI Requirement 4.1)</w:t>
            </w:r>
          </w:p>
        </w:tc>
        <w:tc>
          <w:tcPr>
            <w:tcW w:w="9781" w:type="dxa"/>
          </w:tcPr>
          <w:p w14:paraId="5AD0DA93" w14:textId="77777777" w:rsidR="00505EE4" w:rsidRPr="00030FD2" w:rsidRDefault="00505EE4" w:rsidP="00E55426">
            <w:pPr>
              <w:jc w:val="both"/>
              <w:rPr>
                <w:rFonts w:ascii="Times New Roman" w:hAnsi="Times New Roman" w:cs="Times New Roman"/>
                <w:b/>
                <w:i/>
                <w:sz w:val="24"/>
                <w:szCs w:val="24"/>
                <w:u w:val="single"/>
              </w:rPr>
            </w:pPr>
            <w:r w:rsidRPr="00030FD2">
              <w:rPr>
                <w:rFonts w:ascii="Times New Roman" w:hAnsi="Times New Roman" w:cs="Times New Roman"/>
                <w:b/>
                <w:i/>
                <w:sz w:val="24"/>
                <w:szCs w:val="24"/>
                <w:u w:val="single"/>
              </w:rPr>
              <w:t xml:space="preserve">NOCAL disclosed revenues of USD 3.6 million from 1 January to 31 December 2023. These payments are associated with the sale of </w:t>
            </w:r>
            <w:r w:rsidR="00E55426" w:rsidRPr="00030FD2">
              <w:rPr>
                <w:rFonts w:ascii="Times New Roman" w:hAnsi="Times New Roman" w:cs="Times New Roman"/>
                <w:b/>
                <w:i/>
                <w:sz w:val="24"/>
                <w:szCs w:val="24"/>
                <w:u w:val="single"/>
              </w:rPr>
              <w:t>NOCAL's seismic data</w:t>
            </w:r>
            <w:r w:rsidRPr="00030FD2">
              <w:rPr>
                <w:rFonts w:ascii="Times New Roman" w:hAnsi="Times New Roman" w:cs="Times New Roman"/>
                <w:b/>
                <w:i/>
                <w:sz w:val="24"/>
                <w:szCs w:val="24"/>
                <w:u w:val="single"/>
              </w:rPr>
              <w:t xml:space="preserve">. In line with the LEITI MSG decision in the previous EITI report, we propose </w:t>
            </w:r>
            <w:r w:rsidR="00E55426" w:rsidRPr="00030FD2">
              <w:rPr>
                <w:rFonts w:ascii="Times New Roman" w:hAnsi="Times New Roman" w:cs="Times New Roman"/>
                <w:b/>
                <w:i/>
                <w:sz w:val="24"/>
                <w:szCs w:val="24"/>
                <w:u w:val="single"/>
              </w:rPr>
              <w:t>excluding seismic data sales from the scope of the 16th LEITI report and creating</w:t>
            </w:r>
            <w:r w:rsidRPr="00030FD2">
              <w:rPr>
                <w:rFonts w:ascii="Times New Roman" w:hAnsi="Times New Roman" w:cs="Times New Roman"/>
                <w:b/>
                <w:i/>
                <w:sz w:val="24"/>
                <w:szCs w:val="24"/>
                <w:u w:val="single"/>
              </w:rPr>
              <w:t xml:space="preserve"> a separate segment of the report to capture related payments.</w:t>
            </w:r>
          </w:p>
        </w:tc>
        <w:tc>
          <w:tcPr>
            <w:tcW w:w="2268" w:type="dxa"/>
          </w:tcPr>
          <w:p w14:paraId="195E21EE" w14:textId="77777777" w:rsidR="00C94375" w:rsidRPr="00030FD2" w:rsidRDefault="00F209D5" w:rsidP="00C94375">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505EE4" w:rsidRPr="00030FD2" w14:paraId="38BE6793" w14:textId="77777777" w:rsidTr="00AB137D">
        <w:tc>
          <w:tcPr>
            <w:tcW w:w="567" w:type="dxa"/>
          </w:tcPr>
          <w:p w14:paraId="34118120" w14:textId="77777777" w:rsidR="00505EE4" w:rsidRPr="00030FD2" w:rsidRDefault="00505EE4" w:rsidP="00AB137D">
            <w:pPr>
              <w:jc w:val="both"/>
              <w:rPr>
                <w:rFonts w:ascii="Times New Roman" w:hAnsi="Times New Roman" w:cs="Times New Roman"/>
                <w:sz w:val="24"/>
                <w:szCs w:val="24"/>
              </w:rPr>
            </w:pPr>
            <w:r w:rsidRPr="00030FD2">
              <w:rPr>
                <w:rFonts w:ascii="Times New Roman" w:hAnsi="Times New Roman" w:cs="Times New Roman"/>
                <w:sz w:val="24"/>
                <w:szCs w:val="24"/>
              </w:rPr>
              <w:t>9.</w:t>
            </w:r>
          </w:p>
        </w:tc>
        <w:tc>
          <w:tcPr>
            <w:tcW w:w="2835" w:type="dxa"/>
          </w:tcPr>
          <w:p w14:paraId="1E93738E" w14:textId="77777777" w:rsidR="00505EE4" w:rsidRPr="00030FD2" w:rsidRDefault="0032041F" w:rsidP="0032041F">
            <w:pPr>
              <w:jc w:val="both"/>
              <w:rPr>
                <w:rFonts w:ascii="Times New Roman" w:hAnsi="Times New Roman" w:cs="Times New Roman"/>
                <w:sz w:val="24"/>
                <w:szCs w:val="24"/>
              </w:rPr>
            </w:pPr>
            <w:r w:rsidRPr="00030FD2">
              <w:rPr>
                <w:rFonts w:ascii="Times New Roman" w:hAnsi="Times New Roman" w:cs="Times New Roman"/>
                <w:sz w:val="24"/>
                <w:szCs w:val="24"/>
              </w:rPr>
              <w:t>Comprehensive</w:t>
            </w:r>
            <w:r w:rsidR="00505EE4" w:rsidRPr="00030FD2">
              <w:rPr>
                <w:rFonts w:ascii="Times New Roman" w:hAnsi="Times New Roman" w:cs="Times New Roman"/>
                <w:sz w:val="24"/>
                <w:szCs w:val="24"/>
              </w:rPr>
              <w:t xml:space="preserve"> disclosure of taxes and revenues, mining companies (EITI Requirement 4.1)</w:t>
            </w:r>
          </w:p>
        </w:tc>
        <w:tc>
          <w:tcPr>
            <w:tcW w:w="9781" w:type="dxa"/>
          </w:tcPr>
          <w:p w14:paraId="19C4DAA4" w14:textId="77777777" w:rsidR="00505EE4" w:rsidRPr="00030FD2" w:rsidRDefault="00505EE4" w:rsidP="0032041F">
            <w:pPr>
              <w:jc w:val="both"/>
              <w:rPr>
                <w:rFonts w:ascii="Times New Roman" w:hAnsi="Times New Roman" w:cs="Times New Roman"/>
                <w:sz w:val="24"/>
                <w:szCs w:val="24"/>
              </w:rPr>
            </w:pPr>
            <w:r w:rsidRPr="00030FD2">
              <w:rPr>
                <w:rFonts w:ascii="Times New Roman" w:hAnsi="Times New Roman" w:cs="Times New Roman"/>
                <w:sz w:val="24"/>
                <w:szCs w:val="24"/>
              </w:rPr>
              <w:t xml:space="preserve">We propose to include companies that made payments above USD 1,000,000. This would lead to four companies </w:t>
            </w:r>
            <w:r w:rsidR="0032041F" w:rsidRPr="00030FD2">
              <w:rPr>
                <w:rFonts w:ascii="Times New Roman" w:hAnsi="Times New Roman" w:cs="Times New Roman"/>
                <w:sz w:val="24"/>
                <w:szCs w:val="24"/>
              </w:rPr>
              <w:t>contributing</w:t>
            </w:r>
            <w:r w:rsidRPr="00030FD2">
              <w:rPr>
                <w:rFonts w:ascii="Times New Roman" w:hAnsi="Times New Roman" w:cs="Times New Roman"/>
                <w:sz w:val="24"/>
                <w:szCs w:val="24"/>
              </w:rPr>
              <w:t xml:space="preserve"> over 96% of the total revenues. These companies are: 1. BEA MOUNTAIN MINING, INC. 2. ARCELOR MITTAL (LIBERIA) LTD 3. WESTERN CLUSTER LIMITED 4. CHINA-UNION INVESTMENT (LIBERIA) BONG MINES CO. LTD</w:t>
            </w:r>
          </w:p>
        </w:tc>
        <w:tc>
          <w:tcPr>
            <w:tcW w:w="2268" w:type="dxa"/>
          </w:tcPr>
          <w:p w14:paraId="30048711" w14:textId="77777777" w:rsidR="00505EE4"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505EE4" w:rsidRPr="00030FD2" w14:paraId="61530189" w14:textId="77777777" w:rsidTr="00AB137D">
        <w:tc>
          <w:tcPr>
            <w:tcW w:w="567" w:type="dxa"/>
          </w:tcPr>
          <w:p w14:paraId="7B98486B" w14:textId="77777777" w:rsidR="00505EE4" w:rsidRPr="00030FD2" w:rsidRDefault="00505EE4" w:rsidP="00AB137D">
            <w:pPr>
              <w:jc w:val="both"/>
              <w:rPr>
                <w:rFonts w:ascii="Times New Roman" w:hAnsi="Times New Roman" w:cs="Times New Roman"/>
                <w:sz w:val="24"/>
                <w:szCs w:val="24"/>
              </w:rPr>
            </w:pPr>
            <w:r w:rsidRPr="00030FD2">
              <w:rPr>
                <w:rFonts w:ascii="Times New Roman" w:hAnsi="Times New Roman" w:cs="Times New Roman"/>
                <w:sz w:val="24"/>
                <w:szCs w:val="24"/>
              </w:rPr>
              <w:t>10.</w:t>
            </w:r>
          </w:p>
        </w:tc>
        <w:tc>
          <w:tcPr>
            <w:tcW w:w="2835" w:type="dxa"/>
          </w:tcPr>
          <w:p w14:paraId="1C1F1ECB" w14:textId="77777777" w:rsidR="00505EE4" w:rsidRPr="00030FD2" w:rsidRDefault="00505EE4" w:rsidP="00AB137D">
            <w:pPr>
              <w:jc w:val="both"/>
              <w:rPr>
                <w:rFonts w:ascii="Times New Roman" w:hAnsi="Times New Roman" w:cs="Times New Roman"/>
                <w:sz w:val="24"/>
                <w:szCs w:val="24"/>
              </w:rPr>
            </w:pPr>
            <w:r w:rsidRPr="00030FD2">
              <w:rPr>
                <w:rFonts w:ascii="Times New Roman" w:hAnsi="Times New Roman" w:cs="Times New Roman"/>
                <w:sz w:val="24"/>
                <w:szCs w:val="24"/>
              </w:rPr>
              <w:t>Comprehensive disclosure of taxes and revenues, agriculture companies (EITI Requirement 4.1)</w:t>
            </w:r>
          </w:p>
        </w:tc>
        <w:tc>
          <w:tcPr>
            <w:tcW w:w="9781" w:type="dxa"/>
          </w:tcPr>
          <w:p w14:paraId="70ED1734" w14:textId="77777777" w:rsidR="00505EE4" w:rsidRPr="00030FD2" w:rsidRDefault="00BF0FA6" w:rsidP="0032041F">
            <w:pPr>
              <w:jc w:val="both"/>
              <w:rPr>
                <w:rFonts w:ascii="Times New Roman" w:hAnsi="Times New Roman" w:cs="Times New Roman"/>
                <w:sz w:val="24"/>
                <w:szCs w:val="24"/>
              </w:rPr>
            </w:pPr>
            <w:r w:rsidRPr="00030FD2">
              <w:rPr>
                <w:rFonts w:ascii="Times New Roman" w:hAnsi="Times New Roman" w:cs="Times New Roman"/>
                <w:sz w:val="24"/>
                <w:szCs w:val="24"/>
              </w:rPr>
              <w:t xml:space="preserve">We propose to include companies that made payments above USD 500,000. This would lead to five companies </w:t>
            </w:r>
            <w:r w:rsidR="0032041F" w:rsidRPr="00030FD2">
              <w:rPr>
                <w:rFonts w:ascii="Times New Roman" w:hAnsi="Times New Roman" w:cs="Times New Roman"/>
                <w:sz w:val="24"/>
                <w:szCs w:val="24"/>
              </w:rPr>
              <w:t>contributing</w:t>
            </w:r>
            <w:r w:rsidRPr="00030FD2">
              <w:rPr>
                <w:rFonts w:ascii="Times New Roman" w:hAnsi="Times New Roman" w:cs="Times New Roman"/>
                <w:sz w:val="24"/>
                <w:szCs w:val="24"/>
              </w:rPr>
              <w:t xml:space="preserve"> over 93% of the total revenues. These companies are: 1. FIRESTONE LIBERIA INCORPORATED 2. GOLDEN VEROLEUM LIBERIA INC. 3. LIBERIAN AGRICULTURAL COMPANY 4. CAVALLA RUBBER CORPORATION 5. LIBINC OIL PALM, INC</w:t>
            </w:r>
          </w:p>
        </w:tc>
        <w:tc>
          <w:tcPr>
            <w:tcW w:w="2268" w:type="dxa"/>
          </w:tcPr>
          <w:p w14:paraId="52A00E57" w14:textId="77777777" w:rsidR="00505EE4"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505EE4" w:rsidRPr="00030FD2" w14:paraId="6EFCD570" w14:textId="77777777" w:rsidTr="00AB137D">
        <w:tc>
          <w:tcPr>
            <w:tcW w:w="567" w:type="dxa"/>
          </w:tcPr>
          <w:p w14:paraId="486ECE1E" w14:textId="77777777" w:rsidR="00505EE4" w:rsidRPr="00030FD2" w:rsidRDefault="00BF0FA6" w:rsidP="00AB137D">
            <w:pPr>
              <w:jc w:val="both"/>
              <w:rPr>
                <w:rFonts w:ascii="Times New Roman" w:hAnsi="Times New Roman" w:cs="Times New Roman"/>
                <w:sz w:val="24"/>
                <w:szCs w:val="24"/>
              </w:rPr>
            </w:pPr>
            <w:r w:rsidRPr="00030FD2">
              <w:rPr>
                <w:rFonts w:ascii="Times New Roman" w:hAnsi="Times New Roman" w:cs="Times New Roman"/>
                <w:sz w:val="24"/>
                <w:szCs w:val="24"/>
              </w:rPr>
              <w:t>11.</w:t>
            </w:r>
          </w:p>
        </w:tc>
        <w:tc>
          <w:tcPr>
            <w:tcW w:w="2835" w:type="dxa"/>
          </w:tcPr>
          <w:p w14:paraId="5DE63D92" w14:textId="77777777" w:rsidR="00505EE4" w:rsidRPr="00030FD2" w:rsidRDefault="00BF0FA6" w:rsidP="00AB137D">
            <w:pPr>
              <w:jc w:val="both"/>
              <w:rPr>
                <w:rFonts w:ascii="Times New Roman" w:hAnsi="Times New Roman" w:cs="Times New Roman"/>
                <w:sz w:val="24"/>
                <w:szCs w:val="24"/>
              </w:rPr>
            </w:pPr>
            <w:r w:rsidRPr="00030FD2">
              <w:rPr>
                <w:rFonts w:ascii="Times New Roman" w:hAnsi="Times New Roman" w:cs="Times New Roman"/>
                <w:sz w:val="24"/>
                <w:szCs w:val="24"/>
              </w:rPr>
              <w:t>Comprehensive disclosure of taxes and revenues, forestry companies (EITI Requirement 4.1)</w:t>
            </w:r>
          </w:p>
        </w:tc>
        <w:tc>
          <w:tcPr>
            <w:tcW w:w="9781" w:type="dxa"/>
          </w:tcPr>
          <w:p w14:paraId="64D500B9" w14:textId="77777777" w:rsidR="00505EE4" w:rsidRPr="00030FD2" w:rsidRDefault="00BF0FA6" w:rsidP="0032041F">
            <w:pPr>
              <w:jc w:val="both"/>
              <w:rPr>
                <w:rFonts w:ascii="Times New Roman" w:hAnsi="Times New Roman" w:cs="Times New Roman"/>
                <w:sz w:val="24"/>
                <w:szCs w:val="24"/>
              </w:rPr>
            </w:pPr>
            <w:r w:rsidRPr="00030FD2">
              <w:rPr>
                <w:rFonts w:ascii="Times New Roman" w:hAnsi="Times New Roman" w:cs="Times New Roman"/>
                <w:sz w:val="24"/>
                <w:szCs w:val="24"/>
              </w:rPr>
              <w:t xml:space="preserve">We propose to include companies that made payments above USD 100,000. This would lead to seven companies </w:t>
            </w:r>
            <w:r w:rsidR="0032041F" w:rsidRPr="00030FD2">
              <w:rPr>
                <w:rFonts w:ascii="Times New Roman" w:hAnsi="Times New Roman" w:cs="Times New Roman"/>
                <w:sz w:val="24"/>
                <w:szCs w:val="24"/>
              </w:rPr>
              <w:t xml:space="preserve">making a total contribution of </w:t>
            </w:r>
            <w:r w:rsidRPr="00030FD2">
              <w:rPr>
                <w:rFonts w:ascii="Times New Roman" w:hAnsi="Times New Roman" w:cs="Times New Roman"/>
                <w:sz w:val="24"/>
                <w:szCs w:val="24"/>
              </w:rPr>
              <w:t>over 87% of the total revenues. These companies are: 1. EURO-LIBERIA LOGGING COMPANY 2. WEST WATER GROUP (LIBERIA) INC. 3. GEBLO LOGGING, INC 4. LIBERIA TREE AND TRADING COMPANY, INC 5. HORIZON LOGGING LIMITED 6. KISVAN TIMBER CORPORATION 7. WEST AFRICAN FOREST DEVELOPMENT INCORPORATED (WAFDI)</w:t>
            </w:r>
          </w:p>
        </w:tc>
        <w:tc>
          <w:tcPr>
            <w:tcW w:w="2268" w:type="dxa"/>
          </w:tcPr>
          <w:p w14:paraId="5A89AE9E" w14:textId="77777777" w:rsidR="00505EE4"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505EE4" w:rsidRPr="00030FD2" w14:paraId="1F5F175A" w14:textId="77777777" w:rsidTr="00AB137D">
        <w:tc>
          <w:tcPr>
            <w:tcW w:w="567" w:type="dxa"/>
          </w:tcPr>
          <w:p w14:paraId="7495150F" w14:textId="77777777" w:rsidR="00505EE4" w:rsidRPr="00030FD2" w:rsidRDefault="00BF0FA6" w:rsidP="00AB137D">
            <w:pPr>
              <w:jc w:val="both"/>
              <w:rPr>
                <w:rFonts w:ascii="Times New Roman" w:hAnsi="Times New Roman" w:cs="Times New Roman"/>
                <w:sz w:val="24"/>
                <w:szCs w:val="24"/>
              </w:rPr>
            </w:pPr>
            <w:r w:rsidRPr="00030FD2">
              <w:rPr>
                <w:rFonts w:ascii="Times New Roman" w:hAnsi="Times New Roman" w:cs="Times New Roman"/>
                <w:sz w:val="24"/>
                <w:szCs w:val="24"/>
              </w:rPr>
              <w:t>12.</w:t>
            </w:r>
          </w:p>
        </w:tc>
        <w:tc>
          <w:tcPr>
            <w:tcW w:w="2835" w:type="dxa"/>
          </w:tcPr>
          <w:p w14:paraId="1655C588" w14:textId="77777777" w:rsidR="00505EE4" w:rsidRPr="00030FD2" w:rsidRDefault="00BF0FA6" w:rsidP="00AB137D">
            <w:pPr>
              <w:jc w:val="both"/>
              <w:rPr>
                <w:rFonts w:ascii="Times New Roman" w:hAnsi="Times New Roman" w:cs="Times New Roman"/>
                <w:sz w:val="24"/>
                <w:szCs w:val="24"/>
              </w:rPr>
            </w:pPr>
            <w:r w:rsidRPr="00030FD2">
              <w:rPr>
                <w:rFonts w:ascii="Times New Roman" w:hAnsi="Times New Roman" w:cs="Times New Roman"/>
                <w:sz w:val="24"/>
                <w:szCs w:val="24"/>
              </w:rPr>
              <w:t>Comprehensive disclosure of taxes and revenues, oil and gas companies (EITI Requirement 4.1)</w:t>
            </w:r>
          </w:p>
        </w:tc>
        <w:tc>
          <w:tcPr>
            <w:tcW w:w="9781" w:type="dxa"/>
          </w:tcPr>
          <w:p w14:paraId="7387A73A" w14:textId="77777777" w:rsidR="00505EE4" w:rsidRPr="00030FD2" w:rsidRDefault="00BF0FA6" w:rsidP="0032041F">
            <w:pPr>
              <w:jc w:val="both"/>
              <w:rPr>
                <w:rFonts w:ascii="Times New Roman" w:hAnsi="Times New Roman" w:cs="Times New Roman"/>
                <w:b/>
                <w:i/>
                <w:sz w:val="24"/>
                <w:szCs w:val="24"/>
                <w:u w:val="single"/>
              </w:rPr>
            </w:pPr>
            <w:r w:rsidRPr="00030FD2">
              <w:rPr>
                <w:rFonts w:ascii="Times New Roman" w:hAnsi="Times New Roman" w:cs="Times New Roman"/>
                <w:b/>
                <w:i/>
                <w:sz w:val="24"/>
                <w:szCs w:val="24"/>
                <w:u w:val="single"/>
              </w:rPr>
              <w:t xml:space="preserve">According to </w:t>
            </w:r>
            <w:r w:rsidR="0032041F" w:rsidRPr="00030FD2">
              <w:rPr>
                <w:rFonts w:ascii="Times New Roman" w:hAnsi="Times New Roman" w:cs="Times New Roman"/>
                <w:b/>
                <w:i/>
                <w:sz w:val="24"/>
                <w:szCs w:val="24"/>
                <w:u w:val="single"/>
              </w:rPr>
              <w:t xml:space="preserve">LPRA's response, a Reconnaissance Licence was awarded to Canadian Global Energy (CGE) in September 2023. However, LRA or any other government agency disclosed no revenues related to this company </w:t>
            </w:r>
            <w:r w:rsidRPr="00030FD2">
              <w:rPr>
                <w:rFonts w:ascii="Times New Roman" w:hAnsi="Times New Roman" w:cs="Times New Roman"/>
                <w:b/>
                <w:i/>
                <w:sz w:val="24"/>
                <w:szCs w:val="24"/>
                <w:u w:val="single"/>
              </w:rPr>
              <w:t>for the period from 1 January 2023 to 31 December 2023.</w:t>
            </w:r>
          </w:p>
        </w:tc>
        <w:tc>
          <w:tcPr>
            <w:tcW w:w="2268" w:type="dxa"/>
          </w:tcPr>
          <w:p w14:paraId="36275E72" w14:textId="77777777" w:rsidR="00505EE4" w:rsidRPr="00030FD2" w:rsidRDefault="00F209D5" w:rsidP="0032041F">
            <w:pPr>
              <w:jc w:val="both"/>
              <w:rPr>
                <w:rFonts w:ascii="Times New Roman" w:hAnsi="Times New Roman" w:cs="Times New Roman"/>
                <w:b/>
                <w:i/>
                <w:sz w:val="24"/>
                <w:szCs w:val="24"/>
                <w:u w:val="single"/>
              </w:rPr>
            </w:pPr>
            <w:r>
              <w:rPr>
                <w:rFonts w:ascii="Times New Roman" w:hAnsi="Times New Roman" w:cs="Times New Roman"/>
                <w:b/>
                <w:i/>
                <w:sz w:val="24"/>
                <w:szCs w:val="24"/>
                <w:u w:val="single"/>
              </w:rPr>
              <w:t>The MSG requests the IA to do additional follow-up with the LRA to substantiate the observation</w:t>
            </w:r>
          </w:p>
        </w:tc>
      </w:tr>
      <w:tr w:rsidR="00BF0FA6" w:rsidRPr="00030FD2" w14:paraId="1A5BAF90" w14:textId="77777777" w:rsidTr="00AB137D">
        <w:tc>
          <w:tcPr>
            <w:tcW w:w="567" w:type="dxa"/>
          </w:tcPr>
          <w:p w14:paraId="1E0FACAB" w14:textId="77777777" w:rsidR="00BF0FA6" w:rsidRPr="00030FD2" w:rsidRDefault="00BF0FA6" w:rsidP="00AB137D">
            <w:pPr>
              <w:jc w:val="both"/>
              <w:rPr>
                <w:rFonts w:ascii="Times New Roman" w:hAnsi="Times New Roman" w:cs="Times New Roman"/>
                <w:sz w:val="24"/>
                <w:szCs w:val="24"/>
              </w:rPr>
            </w:pPr>
            <w:bookmarkStart w:id="2" w:name="_Hlk213083817"/>
            <w:r w:rsidRPr="00030FD2">
              <w:rPr>
                <w:rFonts w:ascii="Times New Roman" w:hAnsi="Times New Roman" w:cs="Times New Roman"/>
                <w:sz w:val="24"/>
                <w:szCs w:val="24"/>
              </w:rPr>
              <w:lastRenderedPageBreak/>
              <w:t>13.</w:t>
            </w:r>
          </w:p>
        </w:tc>
        <w:tc>
          <w:tcPr>
            <w:tcW w:w="2835" w:type="dxa"/>
          </w:tcPr>
          <w:p w14:paraId="5A5FCED9" w14:textId="77777777" w:rsidR="00BF0FA6" w:rsidRPr="00030FD2" w:rsidRDefault="00BF0FA6" w:rsidP="00AB137D">
            <w:pPr>
              <w:jc w:val="both"/>
              <w:rPr>
                <w:rFonts w:ascii="Times New Roman" w:hAnsi="Times New Roman" w:cs="Times New Roman"/>
                <w:sz w:val="24"/>
                <w:szCs w:val="24"/>
              </w:rPr>
            </w:pPr>
            <w:r w:rsidRPr="00030FD2">
              <w:rPr>
                <w:rFonts w:ascii="Times New Roman" w:hAnsi="Times New Roman" w:cs="Times New Roman"/>
                <w:sz w:val="24"/>
                <w:szCs w:val="24"/>
              </w:rPr>
              <w:t>Data quality of the disclosures (EITI Requirement 4.9)</w:t>
            </w:r>
          </w:p>
        </w:tc>
        <w:tc>
          <w:tcPr>
            <w:tcW w:w="9781" w:type="dxa"/>
          </w:tcPr>
          <w:p w14:paraId="288F338D" w14:textId="77777777" w:rsidR="00BF0FA6" w:rsidRPr="00030FD2" w:rsidRDefault="00BF0FA6" w:rsidP="00AB137D">
            <w:pPr>
              <w:jc w:val="both"/>
              <w:rPr>
                <w:rFonts w:ascii="Times New Roman" w:hAnsi="Times New Roman" w:cs="Times New Roman"/>
                <w:sz w:val="24"/>
                <w:szCs w:val="24"/>
              </w:rPr>
            </w:pPr>
            <w:r w:rsidRPr="00030FD2">
              <w:rPr>
                <w:rFonts w:ascii="Times New Roman" w:hAnsi="Times New Roman" w:cs="Times New Roman"/>
                <w:sz w:val="24"/>
                <w:szCs w:val="24"/>
              </w:rPr>
              <w:t>The reporting templates for LRA should be: • co-signed by an authorised senior manager and the finance/tax officer; and • certified by the General Auditing Commission (GAC) who should submit a report confirming that the figures and information</w:t>
            </w:r>
            <w:r w:rsidR="00ED2B1A" w:rsidRPr="00030FD2">
              <w:rPr>
                <w:rFonts w:ascii="Times New Roman" w:hAnsi="Times New Roman" w:cs="Times New Roman"/>
                <w:sz w:val="24"/>
                <w:szCs w:val="24"/>
              </w:rPr>
              <w:t xml:space="preserve"> </w:t>
            </w:r>
            <w:r w:rsidR="00D14F1C" w:rsidRPr="00030FD2">
              <w:rPr>
                <w:rFonts w:ascii="Times New Roman" w:hAnsi="Times New Roman" w:cs="Times New Roman"/>
                <w:sz w:val="24"/>
                <w:szCs w:val="24"/>
              </w:rPr>
              <w:t>disclosed by LRA are in accordance with instructions issued by LEITI MSG, are comprehensive and agree with the government accounts for the Reporting period 2023. The reporting templates for the extractive companies should be: • co-signed by an authorised senior manager and the finance/tax officer; • certified by an external auditor or a statutory auditor who should confirm that the figures and information included in the RT are in accordance with instructions issued by LEITI MSG, comprehensive and agree with the company’s accounts for the FY 2023; and4 • accompanied by the company audited financial statements for the 2023 period to compare the information reported in their reporting templates against those of the audited financial statements.</w:t>
            </w:r>
          </w:p>
        </w:tc>
        <w:tc>
          <w:tcPr>
            <w:tcW w:w="2268" w:type="dxa"/>
          </w:tcPr>
          <w:p w14:paraId="18B95E19" w14:textId="77777777" w:rsidR="00BF0FA6"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bookmarkEnd w:id="2"/>
    </w:tbl>
    <w:p w14:paraId="4A6AEFEB" w14:textId="77777777" w:rsidR="001A5CAB" w:rsidRPr="00030FD2" w:rsidRDefault="001A5CAB" w:rsidP="00AB137D">
      <w:pPr>
        <w:jc w:val="both"/>
        <w:rPr>
          <w:rFonts w:ascii="Times New Roman" w:hAnsi="Times New Roman" w:cs="Times New Roman"/>
          <w:sz w:val="24"/>
          <w:szCs w:val="24"/>
        </w:rPr>
      </w:pPr>
    </w:p>
    <w:p w14:paraId="0382E497" w14:textId="77777777" w:rsidR="00ED2B1A" w:rsidRPr="00030FD2" w:rsidRDefault="00ED2B1A" w:rsidP="00AB137D">
      <w:pPr>
        <w:jc w:val="both"/>
        <w:rPr>
          <w:rFonts w:ascii="Times New Roman" w:hAnsi="Times New Roman" w:cs="Times New Roman"/>
          <w:sz w:val="24"/>
          <w:szCs w:val="24"/>
        </w:rPr>
      </w:pPr>
    </w:p>
    <w:p w14:paraId="4F881CA4" w14:textId="77777777" w:rsidR="00D14F1C" w:rsidRPr="00030FD2" w:rsidRDefault="009C56BB" w:rsidP="00AB137D">
      <w:pPr>
        <w:jc w:val="both"/>
        <w:rPr>
          <w:rFonts w:ascii="Times New Roman" w:hAnsi="Times New Roman" w:cs="Times New Roman"/>
          <w:b/>
          <w:sz w:val="24"/>
          <w:szCs w:val="24"/>
        </w:rPr>
      </w:pPr>
      <w:r w:rsidRPr="00030FD2">
        <w:rPr>
          <w:rFonts w:ascii="Times New Roman" w:hAnsi="Times New Roman" w:cs="Times New Roman"/>
          <w:b/>
          <w:sz w:val="24"/>
          <w:szCs w:val="24"/>
        </w:rPr>
        <w:t>Non-Financial</w:t>
      </w:r>
      <w:r w:rsidR="00ED2B1A" w:rsidRPr="00030FD2">
        <w:rPr>
          <w:rFonts w:ascii="Times New Roman" w:hAnsi="Times New Roman" w:cs="Times New Roman"/>
          <w:b/>
          <w:sz w:val="24"/>
          <w:szCs w:val="24"/>
        </w:rPr>
        <w:t xml:space="preserve"> Information to be included in the Report </w:t>
      </w:r>
    </w:p>
    <w:tbl>
      <w:tblPr>
        <w:tblStyle w:val="TableGrid"/>
        <w:tblW w:w="15451" w:type="dxa"/>
        <w:tblInd w:w="-572" w:type="dxa"/>
        <w:tblLook w:val="04A0" w:firstRow="1" w:lastRow="0" w:firstColumn="1" w:lastColumn="0" w:noHBand="0" w:noVBand="1"/>
      </w:tblPr>
      <w:tblGrid>
        <w:gridCol w:w="570"/>
        <w:gridCol w:w="3258"/>
        <w:gridCol w:w="2409"/>
        <w:gridCol w:w="2552"/>
        <w:gridCol w:w="2693"/>
        <w:gridCol w:w="3969"/>
      </w:tblGrid>
      <w:tr w:rsidR="00892EAA" w:rsidRPr="00030FD2" w14:paraId="5CC9A122" w14:textId="77777777" w:rsidTr="00AB137D">
        <w:tc>
          <w:tcPr>
            <w:tcW w:w="570" w:type="dxa"/>
            <w:shd w:val="clear" w:color="auto" w:fill="E2EFD9" w:themeFill="accent6" w:themeFillTint="33"/>
          </w:tcPr>
          <w:p w14:paraId="33BFAABA" w14:textId="77777777" w:rsidR="00892EAA" w:rsidRPr="00030FD2" w:rsidRDefault="00892EAA" w:rsidP="00AB137D">
            <w:pPr>
              <w:jc w:val="both"/>
              <w:rPr>
                <w:rFonts w:ascii="Times New Roman" w:hAnsi="Times New Roman" w:cs="Times New Roman"/>
                <w:b/>
                <w:sz w:val="24"/>
                <w:szCs w:val="24"/>
              </w:rPr>
            </w:pPr>
            <w:r w:rsidRPr="00030FD2">
              <w:rPr>
                <w:rFonts w:ascii="Times New Roman" w:hAnsi="Times New Roman" w:cs="Times New Roman"/>
                <w:b/>
                <w:sz w:val="24"/>
                <w:szCs w:val="24"/>
              </w:rPr>
              <w:t>No.</w:t>
            </w:r>
          </w:p>
        </w:tc>
        <w:tc>
          <w:tcPr>
            <w:tcW w:w="3258" w:type="dxa"/>
            <w:shd w:val="clear" w:color="auto" w:fill="E2EFD9" w:themeFill="accent6" w:themeFillTint="33"/>
          </w:tcPr>
          <w:p w14:paraId="5B0571AB" w14:textId="77777777" w:rsidR="00892EAA" w:rsidRPr="00030FD2" w:rsidRDefault="00892EAA" w:rsidP="00AB137D">
            <w:pPr>
              <w:jc w:val="both"/>
              <w:rPr>
                <w:rFonts w:ascii="Times New Roman" w:hAnsi="Times New Roman" w:cs="Times New Roman"/>
                <w:b/>
                <w:sz w:val="24"/>
                <w:szCs w:val="24"/>
              </w:rPr>
            </w:pPr>
            <w:r w:rsidRPr="00030FD2">
              <w:rPr>
                <w:rFonts w:ascii="Times New Roman" w:hAnsi="Times New Roman" w:cs="Times New Roman"/>
                <w:b/>
                <w:sz w:val="24"/>
                <w:szCs w:val="24"/>
              </w:rPr>
              <w:t>Non-Revenue Information</w:t>
            </w:r>
          </w:p>
        </w:tc>
        <w:tc>
          <w:tcPr>
            <w:tcW w:w="2409" w:type="dxa"/>
            <w:shd w:val="clear" w:color="auto" w:fill="E2EFD9" w:themeFill="accent6" w:themeFillTint="33"/>
          </w:tcPr>
          <w:p w14:paraId="7AE68DA0" w14:textId="77777777" w:rsidR="00892EAA" w:rsidRPr="00030FD2" w:rsidRDefault="00892EAA" w:rsidP="00AB137D">
            <w:pPr>
              <w:jc w:val="both"/>
              <w:rPr>
                <w:rFonts w:ascii="Times New Roman" w:hAnsi="Times New Roman" w:cs="Times New Roman"/>
                <w:b/>
                <w:sz w:val="24"/>
                <w:szCs w:val="24"/>
              </w:rPr>
            </w:pPr>
            <w:r w:rsidRPr="00030FD2">
              <w:rPr>
                <w:rFonts w:ascii="Times New Roman" w:hAnsi="Times New Roman" w:cs="Times New Roman"/>
                <w:b/>
                <w:sz w:val="24"/>
                <w:szCs w:val="24"/>
              </w:rPr>
              <w:t>EITI Requirement</w:t>
            </w:r>
          </w:p>
        </w:tc>
        <w:tc>
          <w:tcPr>
            <w:tcW w:w="2552" w:type="dxa"/>
            <w:shd w:val="clear" w:color="auto" w:fill="E2EFD9" w:themeFill="accent6" w:themeFillTint="33"/>
          </w:tcPr>
          <w:p w14:paraId="79D43187" w14:textId="77777777" w:rsidR="00892EAA" w:rsidRPr="00030FD2" w:rsidRDefault="00892EAA" w:rsidP="00AB137D">
            <w:pPr>
              <w:jc w:val="both"/>
              <w:rPr>
                <w:rFonts w:ascii="Times New Roman" w:hAnsi="Times New Roman" w:cs="Times New Roman"/>
                <w:b/>
                <w:sz w:val="24"/>
                <w:szCs w:val="24"/>
              </w:rPr>
            </w:pPr>
            <w:r w:rsidRPr="00030FD2">
              <w:rPr>
                <w:rFonts w:ascii="Times New Roman" w:hAnsi="Times New Roman" w:cs="Times New Roman"/>
                <w:b/>
                <w:sz w:val="24"/>
                <w:szCs w:val="24"/>
              </w:rPr>
              <w:t>Extractive Companies</w:t>
            </w:r>
          </w:p>
        </w:tc>
        <w:tc>
          <w:tcPr>
            <w:tcW w:w="2693" w:type="dxa"/>
            <w:shd w:val="clear" w:color="auto" w:fill="E2EFD9" w:themeFill="accent6" w:themeFillTint="33"/>
          </w:tcPr>
          <w:p w14:paraId="5C7CF25D" w14:textId="77777777" w:rsidR="00892EAA" w:rsidRPr="00030FD2" w:rsidRDefault="00892EAA" w:rsidP="00AB137D">
            <w:pPr>
              <w:jc w:val="both"/>
              <w:rPr>
                <w:rFonts w:ascii="Times New Roman" w:hAnsi="Times New Roman" w:cs="Times New Roman"/>
                <w:b/>
                <w:sz w:val="24"/>
                <w:szCs w:val="24"/>
              </w:rPr>
            </w:pPr>
            <w:r w:rsidRPr="00030FD2">
              <w:rPr>
                <w:rFonts w:ascii="Times New Roman" w:hAnsi="Times New Roman" w:cs="Times New Roman"/>
                <w:b/>
                <w:sz w:val="24"/>
                <w:szCs w:val="24"/>
              </w:rPr>
              <w:t>Government Agencies</w:t>
            </w:r>
          </w:p>
        </w:tc>
        <w:tc>
          <w:tcPr>
            <w:tcW w:w="3969" w:type="dxa"/>
            <w:shd w:val="clear" w:color="auto" w:fill="E2EFD9" w:themeFill="accent6" w:themeFillTint="33"/>
          </w:tcPr>
          <w:p w14:paraId="406AD066" w14:textId="77777777" w:rsidR="00892EAA" w:rsidRPr="00030FD2" w:rsidRDefault="00657650" w:rsidP="00AB137D">
            <w:pPr>
              <w:jc w:val="both"/>
              <w:rPr>
                <w:rFonts w:ascii="Times New Roman" w:hAnsi="Times New Roman" w:cs="Times New Roman"/>
                <w:b/>
                <w:sz w:val="24"/>
                <w:szCs w:val="24"/>
              </w:rPr>
            </w:pPr>
            <w:r w:rsidRPr="00030FD2">
              <w:rPr>
                <w:rFonts w:ascii="Times New Roman" w:hAnsi="Times New Roman" w:cs="Times New Roman"/>
                <w:b/>
                <w:sz w:val="24"/>
                <w:szCs w:val="24"/>
              </w:rPr>
              <w:t>MSG’s Response</w:t>
            </w:r>
          </w:p>
        </w:tc>
      </w:tr>
      <w:tr w:rsidR="00892EAA" w:rsidRPr="00030FD2" w14:paraId="59F9BE9E" w14:textId="77777777" w:rsidTr="00AB137D">
        <w:tc>
          <w:tcPr>
            <w:tcW w:w="570" w:type="dxa"/>
          </w:tcPr>
          <w:p w14:paraId="3E378B84"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1.</w:t>
            </w:r>
          </w:p>
        </w:tc>
        <w:tc>
          <w:tcPr>
            <w:tcW w:w="3258" w:type="dxa"/>
          </w:tcPr>
          <w:p w14:paraId="73F00B96"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Legal framework and tax regime</w:t>
            </w:r>
          </w:p>
        </w:tc>
        <w:tc>
          <w:tcPr>
            <w:tcW w:w="2409" w:type="dxa"/>
          </w:tcPr>
          <w:p w14:paraId="5AF96204"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2.1</w:t>
            </w:r>
          </w:p>
        </w:tc>
        <w:tc>
          <w:tcPr>
            <w:tcW w:w="2552" w:type="dxa"/>
          </w:tcPr>
          <w:p w14:paraId="2C321C48" w14:textId="77777777" w:rsidR="00892EAA" w:rsidRPr="00030FD2" w:rsidRDefault="00892EAA" w:rsidP="00AB137D">
            <w:pPr>
              <w:jc w:val="both"/>
              <w:rPr>
                <w:rFonts w:ascii="Times New Roman" w:hAnsi="Times New Roman" w:cs="Times New Roman"/>
                <w:sz w:val="24"/>
                <w:szCs w:val="24"/>
              </w:rPr>
            </w:pPr>
          </w:p>
        </w:tc>
        <w:tc>
          <w:tcPr>
            <w:tcW w:w="2693" w:type="dxa"/>
          </w:tcPr>
          <w:p w14:paraId="1973AE0E"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3969" w:type="dxa"/>
          </w:tcPr>
          <w:p w14:paraId="05E915E6"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 xml:space="preserve">Reduce </w:t>
            </w:r>
            <w:r w:rsidR="00657650" w:rsidRPr="00030FD2">
              <w:rPr>
                <w:rFonts w:ascii="Times New Roman" w:hAnsi="Times New Roman" w:cs="Times New Roman"/>
                <w:sz w:val="24"/>
                <w:szCs w:val="24"/>
              </w:rPr>
              <w:t xml:space="preserve">the </w:t>
            </w:r>
            <w:r w:rsidRPr="00030FD2">
              <w:rPr>
                <w:rFonts w:ascii="Times New Roman" w:hAnsi="Times New Roman" w:cs="Times New Roman"/>
                <w:sz w:val="24"/>
                <w:szCs w:val="24"/>
              </w:rPr>
              <w:t>literature and use links for some information</w:t>
            </w:r>
          </w:p>
        </w:tc>
      </w:tr>
      <w:tr w:rsidR="00892EAA" w:rsidRPr="00030FD2" w14:paraId="216E78D4" w14:textId="77777777" w:rsidTr="00AB137D">
        <w:tc>
          <w:tcPr>
            <w:tcW w:w="570" w:type="dxa"/>
          </w:tcPr>
          <w:p w14:paraId="5D1297BA"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2.</w:t>
            </w:r>
          </w:p>
        </w:tc>
        <w:tc>
          <w:tcPr>
            <w:tcW w:w="3258" w:type="dxa"/>
          </w:tcPr>
          <w:p w14:paraId="2D539CBA"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Contracts and license allocation</w:t>
            </w:r>
          </w:p>
        </w:tc>
        <w:tc>
          <w:tcPr>
            <w:tcW w:w="2409" w:type="dxa"/>
          </w:tcPr>
          <w:p w14:paraId="7BB06375"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2.2</w:t>
            </w:r>
          </w:p>
        </w:tc>
        <w:tc>
          <w:tcPr>
            <w:tcW w:w="2552" w:type="dxa"/>
          </w:tcPr>
          <w:p w14:paraId="38E4822E" w14:textId="77777777" w:rsidR="00892EAA" w:rsidRPr="00030FD2" w:rsidRDefault="00892EAA" w:rsidP="00AB137D">
            <w:pPr>
              <w:jc w:val="both"/>
              <w:rPr>
                <w:rFonts w:ascii="Times New Roman" w:hAnsi="Times New Roman" w:cs="Times New Roman"/>
                <w:sz w:val="24"/>
                <w:szCs w:val="24"/>
              </w:rPr>
            </w:pPr>
          </w:p>
        </w:tc>
        <w:tc>
          <w:tcPr>
            <w:tcW w:w="2693" w:type="dxa"/>
          </w:tcPr>
          <w:p w14:paraId="3162F029"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3969" w:type="dxa"/>
          </w:tcPr>
          <w:p w14:paraId="3BA41961" w14:textId="77777777" w:rsidR="00892EAA" w:rsidRPr="00030FD2" w:rsidRDefault="00892EAA" w:rsidP="00AB137D">
            <w:pPr>
              <w:jc w:val="both"/>
              <w:rPr>
                <w:rFonts w:ascii="Times New Roman" w:hAnsi="Times New Roman" w:cs="Times New Roman"/>
                <w:sz w:val="24"/>
                <w:szCs w:val="24"/>
              </w:rPr>
            </w:pPr>
          </w:p>
        </w:tc>
      </w:tr>
      <w:tr w:rsidR="00892EAA" w:rsidRPr="00030FD2" w14:paraId="624394C2" w14:textId="77777777" w:rsidTr="00AB137D">
        <w:tc>
          <w:tcPr>
            <w:tcW w:w="570" w:type="dxa"/>
          </w:tcPr>
          <w:p w14:paraId="261E27A5"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3.</w:t>
            </w:r>
          </w:p>
        </w:tc>
        <w:tc>
          <w:tcPr>
            <w:tcW w:w="3258" w:type="dxa"/>
          </w:tcPr>
          <w:p w14:paraId="6DE3BB7B"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Register of licenses</w:t>
            </w:r>
          </w:p>
        </w:tc>
        <w:tc>
          <w:tcPr>
            <w:tcW w:w="2409" w:type="dxa"/>
          </w:tcPr>
          <w:p w14:paraId="549C5604"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2.3</w:t>
            </w:r>
          </w:p>
        </w:tc>
        <w:tc>
          <w:tcPr>
            <w:tcW w:w="2552" w:type="dxa"/>
          </w:tcPr>
          <w:p w14:paraId="0C9CCCDF" w14:textId="77777777" w:rsidR="00892EAA" w:rsidRPr="00030FD2" w:rsidRDefault="00892EAA" w:rsidP="00AB137D">
            <w:pPr>
              <w:jc w:val="both"/>
              <w:rPr>
                <w:rFonts w:ascii="Times New Roman" w:hAnsi="Times New Roman" w:cs="Times New Roman"/>
                <w:sz w:val="24"/>
                <w:szCs w:val="24"/>
              </w:rPr>
            </w:pPr>
          </w:p>
        </w:tc>
        <w:tc>
          <w:tcPr>
            <w:tcW w:w="2693" w:type="dxa"/>
          </w:tcPr>
          <w:p w14:paraId="766C2C53"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3969" w:type="dxa"/>
          </w:tcPr>
          <w:p w14:paraId="2EED5787"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We suggest that only Class A and B license holders be included in the annex to the 16</w:t>
            </w:r>
            <w:r w:rsidRPr="00030FD2">
              <w:rPr>
                <w:rFonts w:ascii="Times New Roman" w:hAnsi="Times New Roman" w:cs="Times New Roman"/>
                <w:sz w:val="24"/>
                <w:szCs w:val="24"/>
                <w:vertAlign w:val="superscript"/>
              </w:rPr>
              <w:t>th</w:t>
            </w:r>
            <w:r w:rsidRPr="00030FD2">
              <w:rPr>
                <w:rFonts w:ascii="Times New Roman" w:hAnsi="Times New Roman" w:cs="Times New Roman"/>
                <w:sz w:val="24"/>
                <w:szCs w:val="24"/>
              </w:rPr>
              <w:t xml:space="preserve"> Report to reduce the volume.</w:t>
            </w:r>
            <w:r w:rsidR="00AA7FC0" w:rsidRPr="00030FD2">
              <w:rPr>
                <w:rFonts w:ascii="Times New Roman" w:hAnsi="Times New Roman" w:cs="Times New Roman"/>
                <w:sz w:val="24"/>
                <w:szCs w:val="24"/>
              </w:rPr>
              <w:t xml:space="preserve"> However, the entire list should be provided through a link in the Report</w:t>
            </w:r>
            <w:r w:rsidR="0032041F" w:rsidRPr="00030FD2">
              <w:rPr>
                <w:rFonts w:ascii="Times New Roman" w:hAnsi="Times New Roman" w:cs="Times New Roman"/>
                <w:sz w:val="24"/>
                <w:szCs w:val="24"/>
              </w:rPr>
              <w:t>.</w:t>
            </w:r>
          </w:p>
        </w:tc>
      </w:tr>
      <w:tr w:rsidR="00892EAA" w:rsidRPr="00030FD2" w14:paraId="4B99D2C8" w14:textId="77777777" w:rsidTr="00AB137D">
        <w:tc>
          <w:tcPr>
            <w:tcW w:w="570" w:type="dxa"/>
          </w:tcPr>
          <w:p w14:paraId="55AEB197"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4.</w:t>
            </w:r>
          </w:p>
        </w:tc>
        <w:tc>
          <w:tcPr>
            <w:tcW w:w="3258" w:type="dxa"/>
          </w:tcPr>
          <w:p w14:paraId="29DFC2E7"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Government policy on disclosure of contracts and licenses</w:t>
            </w:r>
          </w:p>
        </w:tc>
        <w:tc>
          <w:tcPr>
            <w:tcW w:w="2409" w:type="dxa"/>
          </w:tcPr>
          <w:p w14:paraId="0844D19E"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2.4</w:t>
            </w:r>
          </w:p>
        </w:tc>
        <w:tc>
          <w:tcPr>
            <w:tcW w:w="2552" w:type="dxa"/>
          </w:tcPr>
          <w:p w14:paraId="532A48A1" w14:textId="77777777" w:rsidR="00892EAA" w:rsidRPr="00030FD2" w:rsidRDefault="00892EAA" w:rsidP="00AB137D">
            <w:pPr>
              <w:jc w:val="both"/>
              <w:rPr>
                <w:rFonts w:ascii="Times New Roman" w:hAnsi="Times New Roman" w:cs="Times New Roman"/>
                <w:sz w:val="24"/>
                <w:szCs w:val="24"/>
              </w:rPr>
            </w:pPr>
          </w:p>
        </w:tc>
        <w:tc>
          <w:tcPr>
            <w:tcW w:w="2693" w:type="dxa"/>
          </w:tcPr>
          <w:p w14:paraId="1831251A"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3969" w:type="dxa"/>
          </w:tcPr>
          <w:p w14:paraId="30691D67" w14:textId="77777777" w:rsidR="00892EAA"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892EAA" w:rsidRPr="00030FD2" w14:paraId="37713F87" w14:textId="77777777" w:rsidTr="00AB137D">
        <w:tc>
          <w:tcPr>
            <w:tcW w:w="570" w:type="dxa"/>
          </w:tcPr>
          <w:p w14:paraId="67381EBE"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5.</w:t>
            </w:r>
          </w:p>
        </w:tc>
        <w:tc>
          <w:tcPr>
            <w:tcW w:w="3258" w:type="dxa"/>
          </w:tcPr>
          <w:p w14:paraId="6F0041ED"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Beneficial ownership</w:t>
            </w:r>
          </w:p>
        </w:tc>
        <w:tc>
          <w:tcPr>
            <w:tcW w:w="2409" w:type="dxa"/>
          </w:tcPr>
          <w:p w14:paraId="77EE184E"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2.5</w:t>
            </w:r>
          </w:p>
        </w:tc>
        <w:tc>
          <w:tcPr>
            <w:tcW w:w="2552" w:type="dxa"/>
          </w:tcPr>
          <w:p w14:paraId="0427683E"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2693" w:type="dxa"/>
          </w:tcPr>
          <w:p w14:paraId="76D6C865"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3969" w:type="dxa"/>
          </w:tcPr>
          <w:p w14:paraId="28D2BB89" w14:textId="77777777" w:rsidR="00892EAA"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892EAA" w:rsidRPr="00030FD2" w14:paraId="4E25EBBC" w14:textId="77777777" w:rsidTr="00AB137D">
        <w:tc>
          <w:tcPr>
            <w:tcW w:w="570" w:type="dxa"/>
          </w:tcPr>
          <w:p w14:paraId="0E9EDFD5"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6.</w:t>
            </w:r>
          </w:p>
        </w:tc>
        <w:tc>
          <w:tcPr>
            <w:tcW w:w="3258" w:type="dxa"/>
          </w:tcPr>
          <w:p w14:paraId="7FFDB449"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State participation in the extractive industries</w:t>
            </w:r>
          </w:p>
        </w:tc>
        <w:tc>
          <w:tcPr>
            <w:tcW w:w="2409" w:type="dxa"/>
          </w:tcPr>
          <w:p w14:paraId="42FA406B"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2.6</w:t>
            </w:r>
          </w:p>
        </w:tc>
        <w:tc>
          <w:tcPr>
            <w:tcW w:w="2552" w:type="dxa"/>
          </w:tcPr>
          <w:p w14:paraId="158611EE"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2693" w:type="dxa"/>
          </w:tcPr>
          <w:p w14:paraId="536A8EC2"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3969" w:type="dxa"/>
          </w:tcPr>
          <w:p w14:paraId="39F38444" w14:textId="77777777" w:rsidR="00892EAA"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892EAA" w:rsidRPr="00030FD2" w14:paraId="6CBC6842" w14:textId="77777777" w:rsidTr="00AB137D">
        <w:tc>
          <w:tcPr>
            <w:tcW w:w="570" w:type="dxa"/>
          </w:tcPr>
          <w:p w14:paraId="1FD16CA2"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lastRenderedPageBreak/>
              <w:t>7.</w:t>
            </w:r>
          </w:p>
        </w:tc>
        <w:tc>
          <w:tcPr>
            <w:tcW w:w="3258" w:type="dxa"/>
          </w:tcPr>
          <w:p w14:paraId="40413474"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Overview of the extractive industries, including major exploration activities</w:t>
            </w:r>
          </w:p>
        </w:tc>
        <w:tc>
          <w:tcPr>
            <w:tcW w:w="2409" w:type="dxa"/>
          </w:tcPr>
          <w:p w14:paraId="2086296C"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3.1</w:t>
            </w:r>
          </w:p>
        </w:tc>
        <w:tc>
          <w:tcPr>
            <w:tcW w:w="2552" w:type="dxa"/>
          </w:tcPr>
          <w:p w14:paraId="55EFE18F"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x</w:t>
            </w:r>
          </w:p>
        </w:tc>
        <w:tc>
          <w:tcPr>
            <w:tcW w:w="2693" w:type="dxa"/>
          </w:tcPr>
          <w:p w14:paraId="6EAD162B"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3969" w:type="dxa"/>
          </w:tcPr>
          <w:p w14:paraId="01386D0E" w14:textId="77777777" w:rsidR="00892EAA" w:rsidRPr="00030FD2" w:rsidRDefault="003D1AE3" w:rsidP="00AB137D">
            <w:pPr>
              <w:jc w:val="both"/>
              <w:rPr>
                <w:rFonts w:ascii="Times New Roman" w:hAnsi="Times New Roman" w:cs="Times New Roman"/>
                <w:sz w:val="24"/>
                <w:szCs w:val="24"/>
              </w:rPr>
            </w:pPr>
            <w:r w:rsidRPr="00030FD2">
              <w:rPr>
                <w:rFonts w:ascii="Times New Roman" w:hAnsi="Times New Roman" w:cs="Times New Roman"/>
                <w:sz w:val="24"/>
                <w:szCs w:val="24"/>
              </w:rPr>
              <w:t>Shorten the overview of the extractive sector</w:t>
            </w:r>
            <w:r w:rsidR="00CE3746" w:rsidRPr="00030FD2">
              <w:rPr>
                <w:rFonts w:ascii="Times New Roman" w:hAnsi="Times New Roman" w:cs="Times New Roman"/>
                <w:sz w:val="24"/>
                <w:szCs w:val="24"/>
              </w:rPr>
              <w:t xml:space="preserve"> by including links</w:t>
            </w:r>
          </w:p>
        </w:tc>
      </w:tr>
      <w:tr w:rsidR="00892EAA" w:rsidRPr="00030FD2" w14:paraId="5C74830A" w14:textId="77777777" w:rsidTr="00AB137D">
        <w:tc>
          <w:tcPr>
            <w:tcW w:w="570" w:type="dxa"/>
          </w:tcPr>
          <w:p w14:paraId="12F89255"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8.</w:t>
            </w:r>
          </w:p>
        </w:tc>
        <w:tc>
          <w:tcPr>
            <w:tcW w:w="3258" w:type="dxa"/>
          </w:tcPr>
          <w:p w14:paraId="65128A8A"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Production data</w:t>
            </w:r>
          </w:p>
        </w:tc>
        <w:tc>
          <w:tcPr>
            <w:tcW w:w="2409" w:type="dxa"/>
          </w:tcPr>
          <w:p w14:paraId="1359AACD"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3.2</w:t>
            </w:r>
          </w:p>
        </w:tc>
        <w:tc>
          <w:tcPr>
            <w:tcW w:w="2552" w:type="dxa"/>
          </w:tcPr>
          <w:p w14:paraId="71FA25B4"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2693" w:type="dxa"/>
          </w:tcPr>
          <w:p w14:paraId="2485632D"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3969" w:type="dxa"/>
          </w:tcPr>
          <w:p w14:paraId="2C3A87B2" w14:textId="77777777" w:rsidR="00892EAA"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892EAA" w:rsidRPr="00030FD2" w14:paraId="3E61DE08" w14:textId="77777777" w:rsidTr="00AB137D">
        <w:tc>
          <w:tcPr>
            <w:tcW w:w="570" w:type="dxa"/>
          </w:tcPr>
          <w:p w14:paraId="7CD40C7E"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9.</w:t>
            </w:r>
          </w:p>
        </w:tc>
        <w:tc>
          <w:tcPr>
            <w:tcW w:w="3258" w:type="dxa"/>
          </w:tcPr>
          <w:p w14:paraId="6DF03342"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Export data</w:t>
            </w:r>
          </w:p>
        </w:tc>
        <w:tc>
          <w:tcPr>
            <w:tcW w:w="2409" w:type="dxa"/>
          </w:tcPr>
          <w:p w14:paraId="32EB63FD"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3.3</w:t>
            </w:r>
          </w:p>
        </w:tc>
        <w:tc>
          <w:tcPr>
            <w:tcW w:w="2552" w:type="dxa"/>
          </w:tcPr>
          <w:p w14:paraId="0B67A1E0"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r w:rsidR="0032041F" w:rsidRPr="00030FD2">
              <w:rPr>
                <w:rFonts w:ascii="Times New Roman" w:hAnsi="Times New Roman" w:cs="Times New Roman"/>
                <w:sz w:val="24"/>
                <w:szCs w:val="24"/>
              </w:rPr>
              <w:t>.</w:t>
            </w:r>
          </w:p>
        </w:tc>
        <w:tc>
          <w:tcPr>
            <w:tcW w:w="2693" w:type="dxa"/>
          </w:tcPr>
          <w:p w14:paraId="21B9D45C"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3969" w:type="dxa"/>
          </w:tcPr>
          <w:p w14:paraId="711499EC" w14:textId="77777777" w:rsidR="00892EAA"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892EAA" w:rsidRPr="00030FD2" w14:paraId="4BDBB58C" w14:textId="77777777" w:rsidTr="00AB137D">
        <w:tc>
          <w:tcPr>
            <w:tcW w:w="570" w:type="dxa"/>
          </w:tcPr>
          <w:p w14:paraId="4B8FB6F1"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10.</w:t>
            </w:r>
          </w:p>
        </w:tc>
        <w:tc>
          <w:tcPr>
            <w:tcW w:w="3258" w:type="dxa"/>
          </w:tcPr>
          <w:p w14:paraId="636A13D1"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Infrastructure and barter arrangements</w:t>
            </w:r>
          </w:p>
        </w:tc>
        <w:tc>
          <w:tcPr>
            <w:tcW w:w="2409" w:type="dxa"/>
          </w:tcPr>
          <w:p w14:paraId="778711B6"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4.3</w:t>
            </w:r>
          </w:p>
        </w:tc>
        <w:tc>
          <w:tcPr>
            <w:tcW w:w="2552" w:type="dxa"/>
          </w:tcPr>
          <w:p w14:paraId="13BF7CB0"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2693" w:type="dxa"/>
          </w:tcPr>
          <w:p w14:paraId="341F324C"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3969" w:type="dxa"/>
          </w:tcPr>
          <w:p w14:paraId="2BD95697" w14:textId="77777777" w:rsidR="00892EAA"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892EAA" w:rsidRPr="00030FD2" w14:paraId="6ED83B67" w14:textId="77777777" w:rsidTr="00AB137D">
        <w:tc>
          <w:tcPr>
            <w:tcW w:w="570" w:type="dxa"/>
          </w:tcPr>
          <w:p w14:paraId="46D09BC4"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11.</w:t>
            </w:r>
          </w:p>
        </w:tc>
        <w:tc>
          <w:tcPr>
            <w:tcW w:w="3258" w:type="dxa"/>
          </w:tcPr>
          <w:p w14:paraId="4BF49B39"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Transportation revenue</w:t>
            </w:r>
          </w:p>
        </w:tc>
        <w:tc>
          <w:tcPr>
            <w:tcW w:w="2409" w:type="dxa"/>
          </w:tcPr>
          <w:p w14:paraId="01F3BE91"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4.4</w:t>
            </w:r>
          </w:p>
        </w:tc>
        <w:tc>
          <w:tcPr>
            <w:tcW w:w="2552" w:type="dxa"/>
          </w:tcPr>
          <w:p w14:paraId="7EE26084"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2693" w:type="dxa"/>
          </w:tcPr>
          <w:p w14:paraId="4D9DAFBA"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3969" w:type="dxa"/>
          </w:tcPr>
          <w:p w14:paraId="356B4238" w14:textId="77777777" w:rsidR="00892EAA"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892EAA" w:rsidRPr="00030FD2" w14:paraId="342C7062" w14:textId="77777777" w:rsidTr="00AB137D">
        <w:tc>
          <w:tcPr>
            <w:tcW w:w="570" w:type="dxa"/>
          </w:tcPr>
          <w:p w14:paraId="786BCF2F"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12.</w:t>
            </w:r>
          </w:p>
        </w:tc>
        <w:tc>
          <w:tcPr>
            <w:tcW w:w="3258" w:type="dxa"/>
          </w:tcPr>
          <w:p w14:paraId="5AF82626"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Environmental expenditure</w:t>
            </w:r>
          </w:p>
        </w:tc>
        <w:tc>
          <w:tcPr>
            <w:tcW w:w="2409" w:type="dxa"/>
          </w:tcPr>
          <w:p w14:paraId="7CDC652E"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6.1</w:t>
            </w:r>
          </w:p>
        </w:tc>
        <w:tc>
          <w:tcPr>
            <w:tcW w:w="2552" w:type="dxa"/>
          </w:tcPr>
          <w:p w14:paraId="2E228CB3"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2693" w:type="dxa"/>
          </w:tcPr>
          <w:p w14:paraId="7E7C7395"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3969" w:type="dxa"/>
          </w:tcPr>
          <w:p w14:paraId="076B230D" w14:textId="77777777" w:rsidR="00892EAA"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892EAA" w:rsidRPr="00030FD2" w14:paraId="26837BFB" w14:textId="77777777" w:rsidTr="00AB137D">
        <w:tc>
          <w:tcPr>
            <w:tcW w:w="570" w:type="dxa"/>
          </w:tcPr>
          <w:p w14:paraId="27E01E18"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13.</w:t>
            </w:r>
          </w:p>
        </w:tc>
        <w:tc>
          <w:tcPr>
            <w:tcW w:w="3258" w:type="dxa"/>
          </w:tcPr>
          <w:p w14:paraId="5BEF44ED"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Social expenditure</w:t>
            </w:r>
          </w:p>
        </w:tc>
        <w:tc>
          <w:tcPr>
            <w:tcW w:w="2409" w:type="dxa"/>
          </w:tcPr>
          <w:p w14:paraId="05341982"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6.1</w:t>
            </w:r>
          </w:p>
        </w:tc>
        <w:tc>
          <w:tcPr>
            <w:tcW w:w="2552" w:type="dxa"/>
          </w:tcPr>
          <w:p w14:paraId="3AC348CC"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2693" w:type="dxa"/>
          </w:tcPr>
          <w:p w14:paraId="70CC9944"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3969" w:type="dxa"/>
          </w:tcPr>
          <w:p w14:paraId="7420B9C4" w14:textId="77777777" w:rsidR="00892EAA"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892EAA" w:rsidRPr="00030FD2" w14:paraId="5EA5FD29" w14:textId="77777777" w:rsidTr="00AB137D">
        <w:tc>
          <w:tcPr>
            <w:tcW w:w="570" w:type="dxa"/>
          </w:tcPr>
          <w:p w14:paraId="1D3815B1"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14.</w:t>
            </w:r>
          </w:p>
        </w:tc>
        <w:tc>
          <w:tcPr>
            <w:tcW w:w="3258" w:type="dxa"/>
          </w:tcPr>
          <w:p w14:paraId="0BA4E20C"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Sale of the State’s share of production</w:t>
            </w:r>
          </w:p>
        </w:tc>
        <w:tc>
          <w:tcPr>
            <w:tcW w:w="2409" w:type="dxa"/>
          </w:tcPr>
          <w:p w14:paraId="4F80A96B"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4.2</w:t>
            </w:r>
          </w:p>
        </w:tc>
        <w:tc>
          <w:tcPr>
            <w:tcW w:w="2552" w:type="dxa"/>
          </w:tcPr>
          <w:p w14:paraId="15F05D84"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N/A</w:t>
            </w:r>
          </w:p>
        </w:tc>
        <w:tc>
          <w:tcPr>
            <w:tcW w:w="2693" w:type="dxa"/>
          </w:tcPr>
          <w:p w14:paraId="41405D28"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N/A</w:t>
            </w:r>
          </w:p>
        </w:tc>
        <w:tc>
          <w:tcPr>
            <w:tcW w:w="3969" w:type="dxa"/>
          </w:tcPr>
          <w:p w14:paraId="5D4296F4" w14:textId="77777777" w:rsidR="00892EAA"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892EAA" w:rsidRPr="00030FD2" w14:paraId="2DB0A346" w14:textId="77777777" w:rsidTr="00AB137D">
        <w:tc>
          <w:tcPr>
            <w:tcW w:w="570" w:type="dxa"/>
          </w:tcPr>
          <w:p w14:paraId="20EDE4AA"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15.</w:t>
            </w:r>
          </w:p>
        </w:tc>
        <w:tc>
          <w:tcPr>
            <w:tcW w:w="3258" w:type="dxa"/>
          </w:tcPr>
          <w:p w14:paraId="616A0E45"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Sub-national payments</w:t>
            </w:r>
          </w:p>
        </w:tc>
        <w:tc>
          <w:tcPr>
            <w:tcW w:w="2409" w:type="dxa"/>
          </w:tcPr>
          <w:p w14:paraId="3CB255F7"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4.6</w:t>
            </w:r>
          </w:p>
        </w:tc>
        <w:tc>
          <w:tcPr>
            <w:tcW w:w="2552" w:type="dxa"/>
          </w:tcPr>
          <w:p w14:paraId="2098C9F6"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2693" w:type="dxa"/>
          </w:tcPr>
          <w:p w14:paraId="2088A50E"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3969" w:type="dxa"/>
          </w:tcPr>
          <w:p w14:paraId="3530D6E3" w14:textId="77777777" w:rsidR="00892EAA"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892EAA" w:rsidRPr="00030FD2" w14:paraId="109C9265" w14:textId="77777777" w:rsidTr="00AB137D">
        <w:tc>
          <w:tcPr>
            <w:tcW w:w="570" w:type="dxa"/>
          </w:tcPr>
          <w:p w14:paraId="6C7481FA"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16.</w:t>
            </w:r>
          </w:p>
        </w:tc>
        <w:tc>
          <w:tcPr>
            <w:tcW w:w="3258" w:type="dxa"/>
          </w:tcPr>
          <w:p w14:paraId="4CAB53F2"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Sub-national transfers</w:t>
            </w:r>
          </w:p>
        </w:tc>
        <w:tc>
          <w:tcPr>
            <w:tcW w:w="2409" w:type="dxa"/>
          </w:tcPr>
          <w:p w14:paraId="63C05C21"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5.2</w:t>
            </w:r>
          </w:p>
        </w:tc>
        <w:tc>
          <w:tcPr>
            <w:tcW w:w="2552" w:type="dxa"/>
          </w:tcPr>
          <w:p w14:paraId="659B496F"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x</w:t>
            </w:r>
          </w:p>
        </w:tc>
        <w:tc>
          <w:tcPr>
            <w:tcW w:w="2693" w:type="dxa"/>
          </w:tcPr>
          <w:p w14:paraId="115D134D"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3969" w:type="dxa"/>
          </w:tcPr>
          <w:p w14:paraId="3ABA1AA2" w14:textId="77777777" w:rsidR="00892EAA"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892EAA" w:rsidRPr="00030FD2" w14:paraId="0D4E213D" w14:textId="77777777" w:rsidTr="00AB137D">
        <w:tc>
          <w:tcPr>
            <w:tcW w:w="570" w:type="dxa"/>
          </w:tcPr>
          <w:p w14:paraId="61A8E27D"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17.</w:t>
            </w:r>
          </w:p>
        </w:tc>
        <w:tc>
          <w:tcPr>
            <w:tcW w:w="3258" w:type="dxa"/>
          </w:tcPr>
          <w:p w14:paraId="2705BF49"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Quasi-fiscal expenditure</w:t>
            </w:r>
          </w:p>
        </w:tc>
        <w:tc>
          <w:tcPr>
            <w:tcW w:w="2409" w:type="dxa"/>
          </w:tcPr>
          <w:p w14:paraId="22882040"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6.2</w:t>
            </w:r>
          </w:p>
        </w:tc>
        <w:tc>
          <w:tcPr>
            <w:tcW w:w="2552" w:type="dxa"/>
          </w:tcPr>
          <w:p w14:paraId="5B49EAB9"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N/A</w:t>
            </w:r>
          </w:p>
        </w:tc>
        <w:tc>
          <w:tcPr>
            <w:tcW w:w="2693" w:type="dxa"/>
          </w:tcPr>
          <w:p w14:paraId="3DBEB33E"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N/A</w:t>
            </w:r>
          </w:p>
        </w:tc>
        <w:tc>
          <w:tcPr>
            <w:tcW w:w="3969" w:type="dxa"/>
          </w:tcPr>
          <w:p w14:paraId="57EF2AE9" w14:textId="77777777" w:rsidR="00892EAA"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892EAA" w:rsidRPr="00030FD2" w14:paraId="4F7F6F54" w14:textId="77777777" w:rsidTr="00AB137D">
        <w:tc>
          <w:tcPr>
            <w:tcW w:w="570" w:type="dxa"/>
          </w:tcPr>
          <w:p w14:paraId="095DC68E"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18.</w:t>
            </w:r>
          </w:p>
        </w:tc>
        <w:tc>
          <w:tcPr>
            <w:tcW w:w="3258" w:type="dxa"/>
          </w:tcPr>
          <w:p w14:paraId="6D96DB33"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Distribution of revenues from the extractive sector</w:t>
            </w:r>
          </w:p>
        </w:tc>
        <w:tc>
          <w:tcPr>
            <w:tcW w:w="2409" w:type="dxa"/>
          </w:tcPr>
          <w:p w14:paraId="4F641469"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5.1</w:t>
            </w:r>
          </w:p>
        </w:tc>
        <w:tc>
          <w:tcPr>
            <w:tcW w:w="2552" w:type="dxa"/>
          </w:tcPr>
          <w:p w14:paraId="4D6FD4BD"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x</w:t>
            </w:r>
          </w:p>
        </w:tc>
        <w:tc>
          <w:tcPr>
            <w:tcW w:w="2693" w:type="dxa"/>
          </w:tcPr>
          <w:p w14:paraId="56413345"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3969" w:type="dxa"/>
          </w:tcPr>
          <w:p w14:paraId="1E58CB64" w14:textId="77777777" w:rsidR="00892EAA"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892EAA" w:rsidRPr="00030FD2" w14:paraId="250390C5" w14:textId="77777777" w:rsidTr="00AB137D">
        <w:tc>
          <w:tcPr>
            <w:tcW w:w="570" w:type="dxa"/>
          </w:tcPr>
          <w:p w14:paraId="66DEC59A"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19.</w:t>
            </w:r>
          </w:p>
        </w:tc>
        <w:tc>
          <w:tcPr>
            <w:tcW w:w="3258" w:type="dxa"/>
          </w:tcPr>
          <w:p w14:paraId="0B4F87DB"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Contribution of the extractive sector to the economy</w:t>
            </w:r>
          </w:p>
        </w:tc>
        <w:tc>
          <w:tcPr>
            <w:tcW w:w="2409" w:type="dxa"/>
          </w:tcPr>
          <w:p w14:paraId="051B870C"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6.3</w:t>
            </w:r>
          </w:p>
        </w:tc>
        <w:tc>
          <w:tcPr>
            <w:tcW w:w="2552" w:type="dxa"/>
          </w:tcPr>
          <w:p w14:paraId="0C188A77"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2693" w:type="dxa"/>
          </w:tcPr>
          <w:p w14:paraId="2484A610" w14:textId="77777777" w:rsidR="00892EAA" w:rsidRPr="00030FD2" w:rsidRDefault="00892EAA" w:rsidP="00AB137D">
            <w:pPr>
              <w:jc w:val="both"/>
              <w:rPr>
                <w:rFonts w:ascii="Times New Roman" w:hAnsi="Times New Roman" w:cs="Times New Roman"/>
                <w:sz w:val="24"/>
                <w:szCs w:val="24"/>
              </w:rPr>
            </w:pPr>
            <w:r w:rsidRPr="00030FD2">
              <w:rPr>
                <w:rFonts w:ascii="Times New Roman" w:hAnsi="Times New Roman" w:cs="Times New Roman"/>
                <w:sz w:val="24"/>
                <w:szCs w:val="24"/>
              </w:rPr>
              <w:t>+</w:t>
            </w:r>
          </w:p>
        </w:tc>
        <w:tc>
          <w:tcPr>
            <w:tcW w:w="3969" w:type="dxa"/>
          </w:tcPr>
          <w:p w14:paraId="0FE37B72" w14:textId="77777777" w:rsidR="00892EAA"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bl>
    <w:p w14:paraId="14D58C91" w14:textId="77777777" w:rsidR="00AB137D" w:rsidRPr="00030FD2" w:rsidRDefault="00AB137D" w:rsidP="00AB137D">
      <w:pPr>
        <w:jc w:val="both"/>
        <w:rPr>
          <w:rFonts w:ascii="Times New Roman" w:hAnsi="Times New Roman" w:cs="Times New Roman"/>
          <w:sz w:val="24"/>
          <w:szCs w:val="24"/>
        </w:rPr>
      </w:pPr>
    </w:p>
    <w:p w14:paraId="5F7E5697" w14:textId="77777777" w:rsidR="00745126" w:rsidRPr="00030FD2" w:rsidRDefault="000E2D34" w:rsidP="00AB137D">
      <w:pPr>
        <w:jc w:val="both"/>
        <w:rPr>
          <w:rFonts w:ascii="Times New Roman" w:hAnsi="Times New Roman" w:cs="Times New Roman"/>
          <w:b/>
          <w:sz w:val="24"/>
          <w:szCs w:val="24"/>
        </w:rPr>
      </w:pPr>
      <w:r w:rsidRPr="00030FD2">
        <w:rPr>
          <w:rFonts w:ascii="Times New Roman" w:hAnsi="Times New Roman" w:cs="Times New Roman"/>
          <w:b/>
          <w:sz w:val="24"/>
          <w:szCs w:val="24"/>
        </w:rPr>
        <w:t>Additional information to be disclosed in the 2023 LEITI Report</w:t>
      </w:r>
    </w:p>
    <w:tbl>
      <w:tblPr>
        <w:tblStyle w:val="TableGrid"/>
        <w:tblW w:w="15451" w:type="dxa"/>
        <w:tblInd w:w="-572" w:type="dxa"/>
        <w:tblLook w:val="04A0" w:firstRow="1" w:lastRow="0" w:firstColumn="1" w:lastColumn="0" w:noHBand="0" w:noVBand="1"/>
      </w:tblPr>
      <w:tblGrid>
        <w:gridCol w:w="908"/>
        <w:gridCol w:w="2512"/>
        <w:gridCol w:w="5829"/>
        <w:gridCol w:w="6202"/>
      </w:tblGrid>
      <w:tr w:rsidR="00657650" w:rsidRPr="00030FD2" w14:paraId="438CA1A8" w14:textId="77777777" w:rsidTr="00F209D5">
        <w:tc>
          <w:tcPr>
            <w:tcW w:w="908" w:type="dxa"/>
            <w:shd w:val="clear" w:color="auto" w:fill="E2EFD9" w:themeFill="accent6" w:themeFillTint="33"/>
          </w:tcPr>
          <w:p w14:paraId="0CCCB660" w14:textId="77777777" w:rsidR="00657650" w:rsidRPr="00030FD2" w:rsidRDefault="00657650" w:rsidP="00AB137D">
            <w:pPr>
              <w:jc w:val="both"/>
              <w:rPr>
                <w:rFonts w:ascii="Times New Roman" w:hAnsi="Times New Roman" w:cs="Times New Roman"/>
                <w:b/>
                <w:sz w:val="24"/>
                <w:szCs w:val="24"/>
              </w:rPr>
            </w:pPr>
            <w:r w:rsidRPr="00030FD2">
              <w:rPr>
                <w:rFonts w:ascii="Times New Roman" w:hAnsi="Times New Roman" w:cs="Times New Roman"/>
                <w:b/>
                <w:sz w:val="24"/>
                <w:szCs w:val="24"/>
              </w:rPr>
              <w:t>No.</w:t>
            </w:r>
          </w:p>
        </w:tc>
        <w:tc>
          <w:tcPr>
            <w:tcW w:w="2512" w:type="dxa"/>
            <w:shd w:val="clear" w:color="auto" w:fill="E2EFD9" w:themeFill="accent6" w:themeFillTint="33"/>
          </w:tcPr>
          <w:p w14:paraId="247D3A59" w14:textId="77777777" w:rsidR="00657650" w:rsidRPr="00030FD2" w:rsidRDefault="00657650" w:rsidP="00AB137D">
            <w:pPr>
              <w:jc w:val="both"/>
              <w:rPr>
                <w:rFonts w:ascii="Times New Roman" w:hAnsi="Times New Roman" w:cs="Times New Roman"/>
                <w:b/>
                <w:sz w:val="24"/>
                <w:szCs w:val="24"/>
              </w:rPr>
            </w:pPr>
            <w:r w:rsidRPr="00030FD2">
              <w:rPr>
                <w:rFonts w:ascii="Times New Roman" w:hAnsi="Times New Roman" w:cs="Times New Roman"/>
                <w:b/>
                <w:sz w:val="24"/>
                <w:szCs w:val="24"/>
              </w:rPr>
              <w:t>Topic</w:t>
            </w:r>
          </w:p>
        </w:tc>
        <w:tc>
          <w:tcPr>
            <w:tcW w:w="5829" w:type="dxa"/>
            <w:shd w:val="clear" w:color="auto" w:fill="E2EFD9" w:themeFill="accent6" w:themeFillTint="33"/>
          </w:tcPr>
          <w:p w14:paraId="73342805" w14:textId="77777777" w:rsidR="00657650" w:rsidRPr="00030FD2" w:rsidRDefault="00657650" w:rsidP="00AB137D">
            <w:pPr>
              <w:jc w:val="both"/>
              <w:rPr>
                <w:rFonts w:ascii="Times New Roman" w:hAnsi="Times New Roman" w:cs="Times New Roman"/>
                <w:b/>
                <w:sz w:val="24"/>
                <w:szCs w:val="24"/>
              </w:rPr>
            </w:pPr>
            <w:r w:rsidRPr="00030FD2">
              <w:rPr>
                <w:rFonts w:ascii="Times New Roman" w:hAnsi="Times New Roman" w:cs="Times New Roman"/>
                <w:b/>
                <w:sz w:val="24"/>
                <w:szCs w:val="24"/>
              </w:rPr>
              <w:t>Additional information to be disclosed in the 2023 LEITI Report</w:t>
            </w:r>
          </w:p>
        </w:tc>
        <w:tc>
          <w:tcPr>
            <w:tcW w:w="6202" w:type="dxa"/>
            <w:shd w:val="clear" w:color="auto" w:fill="E2EFD9" w:themeFill="accent6" w:themeFillTint="33"/>
          </w:tcPr>
          <w:p w14:paraId="32F030CB" w14:textId="77777777" w:rsidR="00657650" w:rsidRPr="00030FD2" w:rsidRDefault="00657650" w:rsidP="00AB137D">
            <w:pPr>
              <w:jc w:val="both"/>
              <w:rPr>
                <w:rFonts w:ascii="Times New Roman" w:hAnsi="Times New Roman" w:cs="Times New Roman"/>
                <w:b/>
                <w:sz w:val="24"/>
                <w:szCs w:val="24"/>
              </w:rPr>
            </w:pPr>
            <w:r w:rsidRPr="00030FD2">
              <w:rPr>
                <w:rFonts w:ascii="Times New Roman" w:hAnsi="Times New Roman" w:cs="Times New Roman"/>
                <w:b/>
                <w:sz w:val="24"/>
                <w:szCs w:val="24"/>
              </w:rPr>
              <w:t>MSG’s Response</w:t>
            </w:r>
          </w:p>
        </w:tc>
      </w:tr>
      <w:tr w:rsidR="00657650" w:rsidRPr="00030FD2" w14:paraId="03ACB3C3" w14:textId="77777777" w:rsidTr="00F209D5">
        <w:tc>
          <w:tcPr>
            <w:tcW w:w="908" w:type="dxa"/>
          </w:tcPr>
          <w:p w14:paraId="05226F92"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1.</w:t>
            </w:r>
          </w:p>
        </w:tc>
        <w:tc>
          <w:tcPr>
            <w:tcW w:w="2512" w:type="dxa"/>
          </w:tcPr>
          <w:p w14:paraId="151ED6BC"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Energy transition</w:t>
            </w:r>
          </w:p>
        </w:tc>
        <w:tc>
          <w:tcPr>
            <w:tcW w:w="5829" w:type="dxa"/>
          </w:tcPr>
          <w:p w14:paraId="5B20A198" w14:textId="77777777" w:rsidR="00657650" w:rsidRPr="00030FD2" w:rsidRDefault="00657650" w:rsidP="00657650">
            <w:pPr>
              <w:jc w:val="both"/>
              <w:rPr>
                <w:rFonts w:ascii="Times New Roman" w:hAnsi="Times New Roman" w:cs="Times New Roman"/>
                <w:sz w:val="24"/>
                <w:szCs w:val="24"/>
              </w:rPr>
            </w:pPr>
            <w:r w:rsidRPr="00030FD2">
              <w:rPr>
                <w:rFonts w:ascii="Times New Roman" w:hAnsi="Times New Roman" w:cs="Times New Roman"/>
                <w:sz w:val="24"/>
                <w:szCs w:val="24"/>
              </w:rPr>
              <w:t>An assessment of the implications of the transition to cleaner energy in the extractive sectors and the actions already taken. This should include contextual and financial data on the impact of carbon pricing on revenues or commodity prices and the carbon price assumptions of operating companies in Liberia. A separate section will be dedicated to this matter.</w:t>
            </w:r>
          </w:p>
        </w:tc>
        <w:tc>
          <w:tcPr>
            <w:tcW w:w="6202" w:type="dxa"/>
          </w:tcPr>
          <w:p w14:paraId="0DE42002" w14:textId="77777777" w:rsidR="00657650" w:rsidRPr="00030FD2" w:rsidRDefault="00F209D5" w:rsidP="00657650">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657650" w:rsidRPr="00030FD2" w14:paraId="716CABB9" w14:textId="77777777" w:rsidTr="00F209D5">
        <w:tc>
          <w:tcPr>
            <w:tcW w:w="908" w:type="dxa"/>
          </w:tcPr>
          <w:p w14:paraId="1378FAD0"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lastRenderedPageBreak/>
              <w:t>2.</w:t>
            </w:r>
          </w:p>
        </w:tc>
        <w:tc>
          <w:tcPr>
            <w:tcW w:w="2512" w:type="dxa"/>
          </w:tcPr>
          <w:p w14:paraId="233AAF2B"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Corruption risks</w:t>
            </w:r>
          </w:p>
        </w:tc>
        <w:tc>
          <w:tcPr>
            <w:tcW w:w="5829" w:type="dxa"/>
          </w:tcPr>
          <w:p w14:paraId="1D5EC18A" w14:textId="77777777" w:rsidR="00657650" w:rsidRPr="00030FD2" w:rsidRDefault="00657650" w:rsidP="00657650">
            <w:pPr>
              <w:jc w:val="both"/>
              <w:rPr>
                <w:rFonts w:ascii="Times New Roman" w:hAnsi="Times New Roman" w:cs="Times New Roman"/>
                <w:sz w:val="24"/>
                <w:szCs w:val="24"/>
              </w:rPr>
            </w:pPr>
            <w:r w:rsidRPr="00030FD2">
              <w:rPr>
                <w:rFonts w:ascii="Times New Roman" w:hAnsi="Times New Roman" w:cs="Times New Roman"/>
                <w:sz w:val="24"/>
                <w:szCs w:val="24"/>
              </w:rPr>
              <w:t xml:space="preserve">An assessment of Liberia's corruption index and the measures taken by the </w:t>
            </w:r>
            <w:proofErr w:type="spellStart"/>
            <w:r w:rsidRPr="00030FD2">
              <w:rPr>
                <w:rFonts w:ascii="Times New Roman" w:hAnsi="Times New Roman" w:cs="Times New Roman"/>
                <w:sz w:val="24"/>
                <w:szCs w:val="24"/>
              </w:rPr>
              <w:t>GoL</w:t>
            </w:r>
            <w:proofErr w:type="spellEnd"/>
            <w:r w:rsidRPr="00030FD2">
              <w:rPr>
                <w:rFonts w:ascii="Times New Roman" w:hAnsi="Times New Roman" w:cs="Times New Roman"/>
                <w:sz w:val="24"/>
                <w:szCs w:val="24"/>
              </w:rPr>
              <w:t xml:space="preserve"> to mitigate this risk. An overview of the relevant laws and regulations, including laws related to preventing corruption in the extractive sector. We also propose to request from the reporting companies their existing anti-corruption policies and document the results accordingly.</w:t>
            </w:r>
          </w:p>
        </w:tc>
        <w:tc>
          <w:tcPr>
            <w:tcW w:w="6202" w:type="dxa"/>
          </w:tcPr>
          <w:p w14:paraId="57339875" w14:textId="77777777" w:rsidR="00657650" w:rsidRPr="00030FD2" w:rsidRDefault="00F209D5" w:rsidP="00657650">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657650" w:rsidRPr="00030FD2" w14:paraId="719B2510" w14:textId="77777777" w:rsidTr="00F209D5">
        <w:tc>
          <w:tcPr>
            <w:tcW w:w="908" w:type="dxa"/>
          </w:tcPr>
          <w:p w14:paraId="7104D5A2"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3.</w:t>
            </w:r>
          </w:p>
        </w:tc>
        <w:tc>
          <w:tcPr>
            <w:tcW w:w="2512" w:type="dxa"/>
          </w:tcPr>
          <w:p w14:paraId="6184AAC0"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Gender equality</w:t>
            </w:r>
          </w:p>
        </w:tc>
        <w:tc>
          <w:tcPr>
            <w:tcW w:w="5829" w:type="dxa"/>
          </w:tcPr>
          <w:p w14:paraId="39976E2D"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 xml:space="preserve">An assessment of the gender parity and the measures taken from the </w:t>
            </w:r>
            <w:proofErr w:type="spellStart"/>
            <w:r w:rsidRPr="00030FD2">
              <w:rPr>
                <w:rFonts w:ascii="Times New Roman" w:hAnsi="Times New Roman" w:cs="Times New Roman"/>
                <w:sz w:val="24"/>
                <w:szCs w:val="24"/>
              </w:rPr>
              <w:t>GoL</w:t>
            </w:r>
            <w:proofErr w:type="spellEnd"/>
            <w:r w:rsidRPr="00030FD2">
              <w:rPr>
                <w:rFonts w:ascii="Times New Roman" w:hAnsi="Times New Roman" w:cs="Times New Roman"/>
                <w:sz w:val="24"/>
                <w:szCs w:val="24"/>
              </w:rPr>
              <w:t xml:space="preserve"> towards gender equality.</w:t>
            </w:r>
          </w:p>
        </w:tc>
        <w:tc>
          <w:tcPr>
            <w:tcW w:w="6202" w:type="dxa"/>
          </w:tcPr>
          <w:p w14:paraId="016A99CE" w14:textId="77777777" w:rsidR="00657650"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657650" w:rsidRPr="00030FD2" w14:paraId="032A821B" w14:textId="77777777" w:rsidTr="00F209D5">
        <w:tc>
          <w:tcPr>
            <w:tcW w:w="908" w:type="dxa"/>
          </w:tcPr>
          <w:p w14:paraId="67E9BD9D"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4.</w:t>
            </w:r>
          </w:p>
        </w:tc>
        <w:tc>
          <w:tcPr>
            <w:tcW w:w="2512" w:type="dxa"/>
          </w:tcPr>
          <w:p w14:paraId="0D1C1D82"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Environmental impact of extractive activities</w:t>
            </w:r>
          </w:p>
        </w:tc>
        <w:tc>
          <w:tcPr>
            <w:tcW w:w="5829" w:type="dxa"/>
          </w:tcPr>
          <w:p w14:paraId="0AA4C62B" w14:textId="77777777" w:rsidR="00657650" w:rsidRPr="00030FD2" w:rsidRDefault="00657650" w:rsidP="00657650">
            <w:pPr>
              <w:jc w:val="both"/>
              <w:rPr>
                <w:rFonts w:ascii="Times New Roman" w:hAnsi="Times New Roman" w:cs="Times New Roman"/>
                <w:sz w:val="24"/>
                <w:szCs w:val="24"/>
              </w:rPr>
            </w:pPr>
            <w:r w:rsidRPr="00030FD2">
              <w:rPr>
                <w:rFonts w:ascii="Times New Roman" w:hAnsi="Times New Roman" w:cs="Times New Roman"/>
                <w:sz w:val="24"/>
                <w:szCs w:val="24"/>
              </w:rPr>
              <w:t>We will assess Liberia’s commitments, including efforts to preserve the environment and reduce the impact of the extractive sectors on it.</w:t>
            </w:r>
          </w:p>
        </w:tc>
        <w:tc>
          <w:tcPr>
            <w:tcW w:w="6202" w:type="dxa"/>
          </w:tcPr>
          <w:p w14:paraId="6E530D1A" w14:textId="77777777" w:rsidR="00657650" w:rsidRPr="00030FD2" w:rsidRDefault="00F209D5" w:rsidP="00657650">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bl>
    <w:p w14:paraId="10CDE967" w14:textId="77777777" w:rsidR="00745126" w:rsidRPr="00030FD2" w:rsidRDefault="00745126" w:rsidP="00AB137D">
      <w:pPr>
        <w:jc w:val="both"/>
        <w:rPr>
          <w:rFonts w:ascii="Times New Roman" w:hAnsi="Times New Roman" w:cs="Times New Roman"/>
          <w:sz w:val="24"/>
          <w:szCs w:val="24"/>
        </w:rPr>
      </w:pPr>
    </w:p>
    <w:p w14:paraId="467FD29C" w14:textId="77777777" w:rsidR="00745126" w:rsidRPr="00030FD2" w:rsidRDefault="000E2D34" w:rsidP="00AB137D">
      <w:pPr>
        <w:jc w:val="both"/>
        <w:rPr>
          <w:rFonts w:ascii="Times New Roman" w:hAnsi="Times New Roman" w:cs="Times New Roman"/>
          <w:sz w:val="24"/>
          <w:szCs w:val="24"/>
        </w:rPr>
      </w:pPr>
      <w:r w:rsidRPr="00030FD2">
        <w:rPr>
          <w:rFonts w:ascii="Times New Roman" w:hAnsi="Times New Roman" w:cs="Times New Roman"/>
          <w:b/>
          <w:sz w:val="24"/>
          <w:szCs w:val="24"/>
        </w:rPr>
        <w:t>EITI REQUIREMENTS NOT APPLICABLE TO THE LIBERIAN CONTEXT</w:t>
      </w:r>
    </w:p>
    <w:tbl>
      <w:tblPr>
        <w:tblStyle w:val="TableGrid"/>
        <w:tblW w:w="15451" w:type="dxa"/>
        <w:tblInd w:w="-572" w:type="dxa"/>
        <w:tblLook w:val="04A0" w:firstRow="1" w:lastRow="0" w:firstColumn="1" w:lastColumn="0" w:noHBand="0" w:noVBand="1"/>
      </w:tblPr>
      <w:tblGrid>
        <w:gridCol w:w="570"/>
        <w:gridCol w:w="2961"/>
        <w:gridCol w:w="5665"/>
        <w:gridCol w:w="6255"/>
      </w:tblGrid>
      <w:tr w:rsidR="00657650" w:rsidRPr="00030FD2" w14:paraId="5F1BD5E9" w14:textId="77777777" w:rsidTr="00F209D5">
        <w:trPr>
          <w:trHeight w:val="332"/>
        </w:trPr>
        <w:tc>
          <w:tcPr>
            <w:tcW w:w="570" w:type="dxa"/>
          </w:tcPr>
          <w:p w14:paraId="30BF9260" w14:textId="77777777" w:rsidR="00657650" w:rsidRPr="00030FD2" w:rsidRDefault="00657650" w:rsidP="00AB137D">
            <w:pPr>
              <w:jc w:val="both"/>
              <w:rPr>
                <w:rFonts w:ascii="Times New Roman" w:hAnsi="Times New Roman" w:cs="Times New Roman"/>
                <w:b/>
                <w:sz w:val="24"/>
                <w:szCs w:val="24"/>
              </w:rPr>
            </w:pPr>
            <w:r w:rsidRPr="00030FD2">
              <w:rPr>
                <w:rFonts w:ascii="Times New Roman" w:hAnsi="Times New Roman" w:cs="Times New Roman"/>
                <w:b/>
                <w:sz w:val="24"/>
                <w:szCs w:val="24"/>
              </w:rPr>
              <w:t>No.</w:t>
            </w:r>
          </w:p>
        </w:tc>
        <w:tc>
          <w:tcPr>
            <w:tcW w:w="2961" w:type="dxa"/>
          </w:tcPr>
          <w:p w14:paraId="405F2F56" w14:textId="77777777" w:rsidR="00657650" w:rsidRPr="00030FD2" w:rsidRDefault="00657650" w:rsidP="00AB137D">
            <w:pPr>
              <w:jc w:val="both"/>
              <w:rPr>
                <w:rFonts w:ascii="Times New Roman" w:hAnsi="Times New Roman" w:cs="Times New Roman"/>
                <w:b/>
                <w:sz w:val="24"/>
                <w:szCs w:val="24"/>
              </w:rPr>
            </w:pPr>
            <w:r w:rsidRPr="00030FD2">
              <w:rPr>
                <w:rFonts w:ascii="Times New Roman" w:hAnsi="Times New Roman" w:cs="Times New Roman"/>
                <w:b/>
                <w:sz w:val="24"/>
                <w:szCs w:val="24"/>
              </w:rPr>
              <w:t>Section</w:t>
            </w:r>
          </w:p>
        </w:tc>
        <w:tc>
          <w:tcPr>
            <w:tcW w:w="5665" w:type="dxa"/>
          </w:tcPr>
          <w:p w14:paraId="1EA7D481" w14:textId="77777777" w:rsidR="00657650" w:rsidRPr="00030FD2" w:rsidRDefault="00657650" w:rsidP="00AB137D">
            <w:pPr>
              <w:jc w:val="both"/>
              <w:rPr>
                <w:rFonts w:ascii="Times New Roman" w:hAnsi="Times New Roman" w:cs="Times New Roman"/>
                <w:b/>
                <w:sz w:val="24"/>
                <w:szCs w:val="24"/>
              </w:rPr>
            </w:pPr>
            <w:r w:rsidRPr="00030FD2">
              <w:rPr>
                <w:rFonts w:ascii="Times New Roman" w:hAnsi="Times New Roman" w:cs="Times New Roman"/>
                <w:b/>
                <w:sz w:val="24"/>
                <w:szCs w:val="24"/>
              </w:rPr>
              <w:t>Suggestion</w:t>
            </w:r>
          </w:p>
        </w:tc>
        <w:tc>
          <w:tcPr>
            <w:tcW w:w="6255" w:type="dxa"/>
          </w:tcPr>
          <w:p w14:paraId="27901FAC" w14:textId="77777777" w:rsidR="00657650" w:rsidRPr="00030FD2" w:rsidRDefault="00657650" w:rsidP="00AB137D">
            <w:pPr>
              <w:jc w:val="both"/>
              <w:rPr>
                <w:rFonts w:ascii="Times New Roman" w:hAnsi="Times New Roman" w:cs="Times New Roman"/>
                <w:b/>
                <w:sz w:val="24"/>
                <w:szCs w:val="24"/>
              </w:rPr>
            </w:pPr>
            <w:r w:rsidRPr="00030FD2">
              <w:rPr>
                <w:rFonts w:ascii="Times New Roman" w:hAnsi="Times New Roman" w:cs="Times New Roman"/>
                <w:b/>
                <w:sz w:val="24"/>
                <w:szCs w:val="24"/>
              </w:rPr>
              <w:t>MSG’s Response</w:t>
            </w:r>
          </w:p>
        </w:tc>
      </w:tr>
      <w:tr w:rsidR="00657650" w:rsidRPr="00030FD2" w14:paraId="5B079497" w14:textId="77777777" w:rsidTr="00F209D5">
        <w:trPr>
          <w:trHeight w:val="982"/>
        </w:trPr>
        <w:tc>
          <w:tcPr>
            <w:tcW w:w="570" w:type="dxa"/>
          </w:tcPr>
          <w:p w14:paraId="49EA2FF9"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1.</w:t>
            </w:r>
          </w:p>
        </w:tc>
        <w:tc>
          <w:tcPr>
            <w:tcW w:w="2961" w:type="dxa"/>
          </w:tcPr>
          <w:p w14:paraId="383F459D"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Sale of the state’s share of production or other revenues collected in kind (EITI Requirement 4.2)</w:t>
            </w:r>
          </w:p>
        </w:tc>
        <w:tc>
          <w:tcPr>
            <w:tcW w:w="5665" w:type="dxa"/>
          </w:tcPr>
          <w:p w14:paraId="6E5E6FEC" w14:textId="77777777" w:rsidR="00657650" w:rsidRPr="00030FD2" w:rsidRDefault="00657650" w:rsidP="00657650">
            <w:pPr>
              <w:jc w:val="both"/>
              <w:rPr>
                <w:rFonts w:ascii="Times New Roman" w:hAnsi="Times New Roman" w:cs="Times New Roman"/>
                <w:sz w:val="24"/>
                <w:szCs w:val="24"/>
              </w:rPr>
            </w:pPr>
            <w:r w:rsidRPr="00030FD2">
              <w:rPr>
                <w:rFonts w:ascii="Times New Roman" w:hAnsi="Times New Roman" w:cs="Times New Roman"/>
                <w:sz w:val="24"/>
                <w:szCs w:val="24"/>
              </w:rPr>
              <w:t>None of the government agencies confirmed receiving payments in kind from extractive entities from 1 January to 31 December 2023.</w:t>
            </w:r>
          </w:p>
        </w:tc>
        <w:tc>
          <w:tcPr>
            <w:tcW w:w="6255" w:type="dxa"/>
          </w:tcPr>
          <w:p w14:paraId="37F8B369" w14:textId="77777777" w:rsidR="00657650" w:rsidRPr="00030FD2" w:rsidRDefault="00F209D5" w:rsidP="00657650">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bl>
    <w:p w14:paraId="4CDC4FB4" w14:textId="77777777" w:rsidR="00745126" w:rsidRPr="00030FD2" w:rsidRDefault="00745126" w:rsidP="00AB137D">
      <w:pPr>
        <w:jc w:val="both"/>
        <w:rPr>
          <w:rFonts w:ascii="Times New Roman" w:hAnsi="Times New Roman" w:cs="Times New Roman"/>
          <w:sz w:val="24"/>
          <w:szCs w:val="24"/>
        </w:rPr>
      </w:pPr>
    </w:p>
    <w:tbl>
      <w:tblPr>
        <w:tblStyle w:val="TableGrid"/>
        <w:tblW w:w="15451" w:type="dxa"/>
        <w:tblInd w:w="-572" w:type="dxa"/>
        <w:tblLook w:val="04A0" w:firstRow="1" w:lastRow="0" w:firstColumn="1" w:lastColumn="0" w:noHBand="0" w:noVBand="1"/>
      </w:tblPr>
      <w:tblGrid>
        <w:gridCol w:w="570"/>
        <w:gridCol w:w="2876"/>
        <w:gridCol w:w="5715"/>
        <w:gridCol w:w="6290"/>
      </w:tblGrid>
      <w:tr w:rsidR="00657650" w:rsidRPr="00030FD2" w14:paraId="44F60B8E" w14:textId="77777777" w:rsidTr="00F209D5">
        <w:trPr>
          <w:trHeight w:val="286"/>
        </w:trPr>
        <w:tc>
          <w:tcPr>
            <w:tcW w:w="570" w:type="dxa"/>
          </w:tcPr>
          <w:p w14:paraId="3AEA86FB"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No.</w:t>
            </w:r>
          </w:p>
        </w:tc>
        <w:tc>
          <w:tcPr>
            <w:tcW w:w="2876" w:type="dxa"/>
          </w:tcPr>
          <w:p w14:paraId="524915D0"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Issue</w:t>
            </w:r>
          </w:p>
        </w:tc>
        <w:tc>
          <w:tcPr>
            <w:tcW w:w="5715" w:type="dxa"/>
          </w:tcPr>
          <w:p w14:paraId="58D6A31A"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Our Recommendation</w:t>
            </w:r>
          </w:p>
        </w:tc>
        <w:tc>
          <w:tcPr>
            <w:tcW w:w="6290" w:type="dxa"/>
          </w:tcPr>
          <w:p w14:paraId="3D3C14C8"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 xml:space="preserve">MSG Response </w:t>
            </w:r>
          </w:p>
        </w:tc>
      </w:tr>
      <w:tr w:rsidR="00657650" w:rsidRPr="00030FD2" w14:paraId="2CB3E43D" w14:textId="77777777" w:rsidTr="00F209D5">
        <w:trPr>
          <w:trHeight w:val="286"/>
        </w:trPr>
        <w:tc>
          <w:tcPr>
            <w:tcW w:w="570" w:type="dxa"/>
          </w:tcPr>
          <w:p w14:paraId="2E262AB1"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1.</w:t>
            </w:r>
          </w:p>
        </w:tc>
        <w:tc>
          <w:tcPr>
            <w:tcW w:w="2876" w:type="dxa"/>
          </w:tcPr>
          <w:p w14:paraId="0940958E"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Deko Mining and Ivanhoe</w:t>
            </w:r>
          </w:p>
        </w:tc>
        <w:tc>
          <w:tcPr>
            <w:tcW w:w="5715" w:type="dxa"/>
          </w:tcPr>
          <w:p w14:paraId="0DB6267B"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We agree that these two companies should be captured under associated payments.</w:t>
            </w:r>
          </w:p>
        </w:tc>
        <w:tc>
          <w:tcPr>
            <w:tcW w:w="6290" w:type="dxa"/>
          </w:tcPr>
          <w:p w14:paraId="1FEEF183" w14:textId="77777777" w:rsidR="00657650"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657650" w:rsidRPr="00030FD2" w14:paraId="060C4F09" w14:textId="77777777" w:rsidTr="00F209D5">
        <w:trPr>
          <w:trHeight w:val="273"/>
        </w:trPr>
        <w:tc>
          <w:tcPr>
            <w:tcW w:w="570" w:type="dxa"/>
          </w:tcPr>
          <w:p w14:paraId="0C47D41A"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2.</w:t>
            </w:r>
          </w:p>
        </w:tc>
        <w:tc>
          <w:tcPr>
            <w:tcW w:w="2876" w:type="dxa"/>
          </w:tcPr>
          <w:p w14:paraId="3AA0980D"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Stadium</w:t>
            </w:r>
          </w:p>
        </w:tc>
        <w:tc>
          <w:tcPr>
            <w:tcW w:w="5715" w:type="dxa"/>
          </w:tcPr>
          <w:p w14:paraId="3DF603D0"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Included under associated payments</w:t>
            </w:r>
          </w:p>
        </w:tc>
        <w:tc>
          <w:tcPr>
            <w:tcW w:w="6290" w:type="dxa"/>
          </w:tcPr>
          <w:p w14:paraId="21FD1B48" w14:textId="77777777" w:rsidR="00657650"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657650" w:rsidRPr="00030FD2" w14:paraId="43EA3BFD" w14:textId="77777777" w:rsidTr="00F209D5">
        <w:trPr>
          <w:trHeight w:val="286"/>
        </w:trPr>
        <w:tc>
          <w:tcPr>
            <w:tcW w:w="570" w:type="dxa"/>
          </w:tcPr>
          <w:p w14:paraId="2140B063"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3.</w:t>
            </w:r>
          </w:p>
        </w:tc>
        <w:tc>
          <w:tcPr>
            <w:tcW w:w="2876" w:type="dxa"/>
          </w:tcPr>
          <w:p w14:paraId="49BB8E92"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Canadian Global Energy payment</w:t>
            </w:r>
          </w:p>
        </w:tc>
        <w:tc>
          <w:tcPr>
            <w:tcW w:w="5715" w:type="dxa"/>
          </w:tcPr>
          <w:p w14:paraId="3B595141"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Should be reported and captured as extractive revenue.</w:t>
            </w:r>
          </w:p>
        </w:tc>
        <w:tc>
          <w:tcPr>
            <w:tcW w:w="6290" w:type="dxa"/>
          </w:tcPr>
          <w:p w14:paraId="6C8EF8C3" w14:textId="77777777" w:rsidR="00657650"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657650" w:rsidRPr="00030FD2" w14:paraId="46494E37" w14:textId="77777777" w:rsidTr="00F209D5">
        <w:trPr>
          <w:trHeight w:val="572"/>
        </w:trPr>
        <w:tc>
          <w:tcPr>
            <w:tcW w:w="570" w:type="dxa"/>
          </w:tcPr>
          <w:p w14:paraId="0C0C2929"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4.</w:t>
            </w:r>
          </w:p>
        </w:tc>
        <w:tc>
          <w:tcPr>
            <w:tcW w:w="2876" w:type="dxa"/>
          </w:tcPr>
          <w:p w14:paraId="4993D1FA"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List of licenses</w:t>
            </w:r>
          </w:p>
        </w:tc>
        <w:tc>
          <w:tcPr>
            <w:tcW w:w="5715" w:type="dxa"/>
          </w:tcPr>
          <w:p w14:paraId="46EB339E" w14:textId="77777777" w:rsidR="00657650" w:rsidRPr="00030FD2" w:rsidRDefault="00657650" w:rsidP="0032041F">
            <w:pPr>
              <w:jc w:val="both"/>
              <w:rPr>
                <w:rFonts w:ascii="Times New Roman" w:hAnsi="Times New Roman" w:cs="Times New Roman"/>
                <w:sz w:val="24"/>
                <w:szCs w:val="24"/>
              </w:rPr>
            </w:pPr>
            <w:r w:rsidRPr="00030FD2">
              <w:rPr>
                <w:rFonts w:ascii="Times New Roman" w:hAnsi="Times New Roman" w:cs="Times New Roman"/>
                <w:sz w:val="24"/>
                <w:szCs w:val="24"/>
              </w:rPr>
              <w:t xml:space="preserve">Only Class A and B licenses should be included </w:t>
            </w:r>
            <w:r w:rsidR="0032041F" w:rsidRPr="00030FD2">
              <w:rPr>
                <w:rFonts w:ascii="Times New Roman" w:hAnsi="Times New Roman" w:cs="Times New Roman"/>
                <w:sz w:val="24"/>
                <w:szCs w:val="24"/>
              </w:rPr>
              <w:t>directly in the report, and a link should be created</w:t>
            </w:r>
            <w:r w:rsidRPr="00030FD2">
              <w:rPr>
                <w:rFonts w:ascii="Times New Roman" w:hAnsi="Times New Roman" w:cs="Times New Roman"/>
                <w:sz w:val="24"/>
                <w:szCs w:val="24"/>
              </w:rPr>
              <w:t xml:space="preserve"> for all 413 licenses.</w:t>
            </w:r>
          </w:p>
        </w:tc>
        <w:tc>
          <w:tcPr>
            <w:tcW w:w="6290" w:type="dxa"/>
          </w:tcPr>
          <w:p w14:paraId="48281F65" w14:textId="77777777" w:rsidR="00657650"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657650" w:rsidRPr="00030FD2" w14:paraId="5E8EDF92" w14:textId="77777777" w:rsidTr="00F209D5">
        <w:trPr>
          <w:trHeight w:val="286"/>
        </w:trPr>
        <w:tc>
          <w:tcPr>
            <w:tcW w:w="570" w:type="dxa"/>
          </w:tcPr>
          <w:p w14:paraId="054A7CBC"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lastRenderedPageBreak/>
              <w:t>5.</w:t>
            </w:r>
          </w:p>
        </w:tc>
        <w:tc>
          <w:tcPr>
            <w:tcW w:w="2876" w:type="dxa"/>
          </w:tcPr>
          <w:p w14:paraId="159FE93A"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Historical data</w:t>
            </w:r>
          </w:p>
        </w:tc>
        <w:tc>
          <w:tcPr>
            <w:tcW w:w="5715" w:type="dxa"/>
          </w:tcPr>
          <w:p w14:paraId="32C32100"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We suggest the inclusion of historical revenue data in all subsequent reports.</w:t>
            </w:r>
          </w:p>
        </w:tc>
        <w:tc>
          <w:tcPr>
            <w:tcW w:w="6290" w:type="dxa"/>
          </w:tcPr>
          <w:p w14:paraId="02D5C90E" w14:textId="77777777" w:rsidR="00657650" w:rsidRPr="00030FD2"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r w:rsidR="00657650" w:rsidRPr="00AB137D" w14:paraId="2090C513" w14:textId="77777777" w:rsidTr="00F209D5">
        <w:trPr>
          <w:trHeight w:val="286"/>
        </w:trPr>
        <w:tc>
          <w:tcPr>
            <w:tcW w:w="570" w:type="dxa"/>
          </w:tcPr>
          <w:p w14:paraId="2A23DACE"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6.</w:t>
            </w:r>
          </w:p>
        </w:tc>
        <w:tc>
          <w:tcPr>
            <w:tcW w:w="2876" w:type="dxa"/>
          </w:tcPr>
          <w:p w14:paraId="3C8DD77E" w14:textId="77777777" w:rsidR="00657650" w:rsidRPr="00030FD2" w:rsidRDefault="00657650" w:rsidP="00AB137D">
            <w:pPr>
              <w:jc w:val="both"/>
              <w:rPr>
                <w:rFonts w:ascii="Times New Roman" w:hAnsi="Times New Roman" w:cs="Times New Roman"/>
                <w:sz w:val="24"/>
                <w:szCs w:val="24"/>
              </w:rPr>
            </w:pPr>
            <w:r w:rsidRPr="00030FD2">
              <w:rPr>
                <w:rFonts w:ascii="Times New Roman" w:hAnsi="Times New Roman" w:cs="Times New Roman"/>
                <w:sz w:val="24"/>
                <w:szCs w:val="24"/>
              </w:rPr>
              <w:t>Milestone achievements</w:t>
            </w:r>
          </w:p>
        </w:tc>
        <w:tc>
          <w:tcPr>
            <w:tcW w:w="5715" w:type="dxa"/>
          </w:tcPr>
          <w:p w14:paraId="2890E1A1" w14:textId="77777777" w:rsidR="00657650" w:rsidRPr="00030FD2" w:rsidRDefault="00657650" w:rsidP="0032041F">
            <w:pPr>
              <w:jc w:val="both"/>
              <w:rPr>
                <w:rFonts w:ascii="Times New Roman" w:hAnsi="Times New Roman" w:cs="Times New Roman"/>
                <w:sz w:val="24"/>
                <w:szCs w:val="24"/>
              </w:rPr>
            </w:pPr>
            <w:r w:rsidRPr="00030FD2">
              <w:rPr>
                <w:rFonts w:ascii="Times New Roman" w:hAnsi="Times New Roman" w:cs="Times New Roman"/>
                <w:sz w:val="24"/>
                <w:szCs w:val="24"/>
              </w:rPr>
              <w:t xml:space="preserve">We suggest creating a table to capture </w:t>
            </w:r>
            <w:r w:rsidR="0032041F" w:rsidRPr="00030FD2">
              <w:rPr>
                <w:rFonts w:ascii="Times New Roman" w:hAnsi="Times New Roman" w:cs="Times New Roman"/>
                <w:sz w:val="24"/>
                <w:szCs w:val="24"/>
              </w:rPr>
              <w:t>significant</w:t>
            </w:r>
            <w:r w:rsidRPr="00030FD2">
              <w:rPr>
                <w:rFonts w:ascii="Times New Roman" w:hAnsi="Times New Roman" w:cs="Times New Roman"/>
                <w:sz w:val="24"/>
                <w:szCs w:val="24"/>
              </w:rPr>
              <w:t xml:space="preserve"> </w:t>
            </w:r>
            <w:r w:rsidR="0032041F" w:rsidRPr="00030FD2">
              <w:rPr>
                <w:rFonts w:ascii="Times New Roman" w:hAnsi="Times New Roman" w:cs="Times New Roman"/>
                <w:sz w:val="24"/>
                <w:szCs w:val="24"/>
              </w:rPr>
              <w:t>events</w:t>
            </w:r>
            <w:r w:rsidRPr="00030FD2">
              <w:rPr>
                <w:rFonts w:ascii="Times New Roman" w:hAnsi="Times New Roman" w:cs="Times New Roman"/>
                <w:sz w:val="24"/>
                <w:szCs w:val="24"/>
              </w:rPr>
              <w:t>/progress in EITI implementation in Liberia.</w:t>
            </w:r>
          </w:p>
        </w:tc>
        <w:tc>
          <w:tcPr>
            <w:tcW w:w="6290" w:type="dxa"/>
          </w:tcPr>
          <w:p w14:paraId="592CA3B2" w14:textId="77777777" w:rsidR="00657650" w:rsidRPr="00AB137D" w:rsidRDefault="00F209D5" w:rsidP="00AB137D">
            <w:pPr>
              <w:jc w:val="both"/>
              <w:rPr>
                <w:rFonts w:ascii="Times New Roman" w:hAnsi="Times New Roman" w:cs="Times New Roman"/>
                <w:sz w:val="24"/>
                <w:szCs w:val="24"/>
              </w:rPr>
            </w:pPr>
            <w:r>
              <w:rPr>
                <w:rFonts w:ascii="Times New Roman" w:hAnsi="Times New Roman" w:cs="Times New Roman"/>
                <w:sz w:val="24"/>
                <w:szCs w:val="24"/>
              </w:rPr>
              <w:t xml:space="preserve">The MSG Accepts the IA Proposal </w:t>
            </w:r>
          </w:p>
        </w:tc>
      </w:tr>
    </w:tbl>
    <w:p w14:paraId="6CE52279" w14:textId="77777777" w:rsidR="00546AA6" w:rsidRPr="00AB137D" w:rsidRDefault="00546AA6" w:rsidP="00AB137D">
      <w:pPr>
        <w:jc w:val="both"/>
        <w:rPr>
          <w:rFonts w:ascii="Times New Roman" w:hAnsi="Times New Roman" w:cs="Times New Roman"/>
          <w:sz w:val="24"/>
          <w:szCs w:val="24"/>
        </w:rPr>
      </w:pPr>
    </w:p>
    <w:sectPr w:rsidR="00546AA6" w:rsidRPr="00AB137D" w:rsidSect="00AB137D">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421E" w14:textId="77777777" w:rsidR="000774AE" w:rsidRDefault="000774AE" w:rsidP="00231C9C">
      <w:pPr>
        <w:spacing w:after="0" w:line="240" w:lineRule="auto"/>
      </w:pPr>
      <w:r>
        <w:separator/>
      </w:r>
    </w:p>
  </w:endnote>
  <w:endnote w:type="continuationSeparator" w:id="0">
    <w:p w14:paraId="2199D14F" w14:textId="77777777" w:rsidR="000774AE" w:rsidRDefault="000774AE" w:rsidP="0023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86939"/>
      <w:docPartObj>
        <w:docPartGallery w:val="Page Numbers (Bottom of Page)"/>
        <w:docPartUnique/>
      </w:docPartObj>
    </w:sdtPr>
    <w:sdtEndPr>
      <w:rPr>
        <w:noProof/>
      </w:rPr>
    </w:sdtEndPr>
    <w:sdtContent>
      <w:p w14:paraId="48429D60" w14:textId="77777777" w:rsidR="00030FD2" w:rsidRDefault="00030FD2">
        <w:pPr>
          <w:pStyle w:val="Footer"/>
          <w:jc w:val="center"/>
        </w:pPr>
        <w:r>
          <w:fldChar w:fldCharType="begin"/>
        </w:r>
        <w:r>
          <w:instrText xml:space="preserve"> PAGE   \* MERGEFORMAT </w:instrText>
        </w:r>
        <w:r>
          <w:fldChar w:fldCharType="separate"/>
        </w:r>
        <w:r w:rsidR="00C62D2E">
          <w:rPr>
            <w:noProof/>
          </w:rPr>
          <w:t>1</w:t>
        </w:r>
        <w:r>
          <w:rPr>
            <w:noProof/>
          </w:rPr>
          <w:fldChar w:fldCharType="end"/>
        </w:r>
      </w:p>
    </w:sdtContent>
  </w:sdt>
  <w:p w14:paraId="3E9C35FB" w14:textId="77777777" w:rsidR="002B5E83" w:rsidRDefault="002B5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F8E3B" w14:textId="77777777" w:rsidR="000774AE" w:rsidRDefault="000774AE" w:rsidP="00231C9C">
      <w:pPr>
        <w:spacing w:after="0" w:line="240" w:lineRule="auto"/>
      </w:pPr>
      <w:r>
        <w:separator/>
      </w:r>
    </w:p>
  </w:footnote>
  <w:footnote w:type="continuationSeparator" w:id="0">
    <w:p w14:paraId="6246C345" w14:textId="77777777" w:rsidR="000774AE" w:rsidRDefault="000774AE" w:rsidP="00231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DAA2" w14:textId="77777777" w:rsidR="002B5E83" w:rsidRDefault="002B5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332BE"/>
    <w:multiLevelType w:val="hybridMultilevel"/>
    <w:tmpl w:val="489C1B46"/>
    <w:lvl w:ilvl="0" w:tplc="4D8677EE">
      <w:numFmt w:val="bullet"/>
      <w:lvlText w:val=""/>
      <w:lvlJc w:val="left"/>
      <w:pPr>
        <w:ind w:left="360" w:hanging="360"/>
      </w:pPr>
      <w:rPr>
        <w:rFonts w:ascii="Symbol" w:eastAsiaTheme="minorHAns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0509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AB"/>
    <w:rsid w:val="00030FD2"/>
    <w:rsid w:val="00032A5A"/>
    <w:rsid w:val="00064FFA"/>
    <w:rsid w:val="000774AE"/>
    <w:rsid w:val="000B31C4"/>
    <w:rsid w:val="000D1001"/>
    <w:rsid w:val="000E2D34"/>
    <w:rsid w:val="000E5AA6"/>
    <w:rsid w:val="000F1676"/>
    <w:rsid w:val="00103E2A"/>
    <w:rsid w:val="00151DA4"/>
    <w:rsid w:val="00185BF3"/>
    <w:rsid w:val="001A5CAB"/>
    <w:rsid w:val="001D1B89"/>
    <w:rsid w:val="001E1BDE"/>
    <w:rsid w:val="00217859"/>
    <w:rsid w:val="002217CA"/>
    <w:rsid w:val="00231C9C"/>
    <w:rsid w:val="00274E2F"/>
    <w:rsid w:val="00283D0C"/>
    <w:rsid w:val="002B5E83"/>
    <w:rsid w:val="002C4723"/>
    <w:rsid w:val="002D139A"/>
    <w:rsid w:val="002F26F8"/>
    <w:rsid w:val="0030486F"/>
    <w:rsid w:val="00304ABC"/>
    <w:rsid w:val="0032041F"/>
    <w:rsid w:val="003A29EB"/>
    <w:rsid w:val="003B3914"/>
    <w:rsid w:val="003C18ED"/>
    <w:rsid w:val="003D1AE3"/>
    <w:rsid w:val="003F41A8"/>
    <w:rsid w:val="003F63E0"/>
    <w:rsid w:val="00405219"/>
    <w:rsid w:val="004815EE"/>
    <w:rsid w:val="004B2BBD"/>
    <w:rsid w:val="004F1601"/>
    <w:rsid w:val="00505EE4"/>
    <w:rsid w:val="00506E20"/>
    <w:rsid w:val="00546AA6"/>
    <w:rsid w:val="00577625"/>
    <w:rsid w:val="00600F7E"/>
    <w:rsid w:val="0065478F"/>
    <w:rsid w:val="00657650"/>
    <w:rsid w:val="0069408B"/>
    <w:rsid w:val="0070299B"/>
    <w:rsid w:val="00717B5F"/>
    <w:rsid w:val="007217A9"/>
    <w:rsid w:val="00733E9D"/>
    <w:rsid w:val="00745126"/>
    <w:rsid w:val="007C35DB"/>
    <w:rsid w:val="007C5345"/>
    <w:rsid w:val="007E2021"/>
    <w:rsid w:val="00892EAA"/>
    <w:rsid w:val="009C56BB"/>
    <w:rsid w:val="009F32BB"/>
    <w:rsid w:val="00AA7FC0"/>
    <w:rsid w:val="00AB137D"/>
    <w:rsid w:val="00AE7FDC"/>
    <w:rsid w:val="00B15B61"/>
    <w:rsid w:val="00B26271"/>
    <w:rsid w:val="00BF0FA6"/>
    <w:rsid w:val="00BF2A51"/>
    <w:rsid w:val="00C62D2E"/>
    <w:rsid w:val="00C94375"/>
    <w:rsid w:val="00CC0B11"/>
    <w:rsid w:val="00CC5601"/>
    <w:rsid w:val="00CE3746"/>
    <w:rsid w:val="00D14F1C"/>
    <w:rsid w:val="00DB7BB3"/>
    <w:rsid w:val="00E12FBC"/>
    <w:rsid w:val="00E20572"/>
    <w:rsid w:val="00E55426"/>
    <w:rsid w:val="00E65EB4"/>
    <w:rsid w:val="00E710A9"/>
    <w:rsid w:val="00E76AFC"/>
    <w:rsid w:val="00ED2A8D"/>
    <w:rsid w:val="00ED2B1A"/>
    <w:rsid w:val="00EE3399"/>
    <w:rsid w:val="00F209D5"/>
    <w:rsid w:val="00FC167A"/>
    <w:rsid w:val="00FC5E0C"/>
    <w:rsid w:val="00FD2C16"/>
    <w:rsid w:val="00FD4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52EC2"/>
  <w15:chartTrackingRefBased/>
  <w15:docId w15:val="{EF90ADC3-BE4D-4C51-A03A-5A83260C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6AA6"/>
    <w:pPr>
      <w:ind w:left="720"/>
      <w:contextualSpacing/>
    </w:pPr>
  </w:style>
  <w:style w:type="paragraph" w:styleId="Header">
    <w:name w:val="header"/>
    <w:basedOn w:val="Normal"/>
    <w:link w:val="HeaderChar"/>
    <w:uiPriority w:val="99"/>
    <w:unhideWhenUsed/>
    <w:rsid w:val="00231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C9C"/>
  </w:style>
  <w:style w:type="paragraph" w:styleId="Footer">
    <w:name w:val="footer"/>
    <w:basedOn w:val="Normal"/>
    <w:link w:val="FooterChar"/>
    <w:uiPriority w:val="99"/>
    <w:unhideWhenUsed/>
    <w:rsid w:val="00231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1830</Words>
  <Characters>9669</Characters>
  <Application>Microsoft Office Word</Application>
  <DocSecurity>0</DocSecurity>
  <Lines>388</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MC-S.SERL</dc:creator>
  <cp:keywords/>
  <dc:description/>
  <cp:lastModifiedBy>Jeffrey Yates</cp:lastModifiedBy>
  <cp:revision>2</cp:revision>
  <dcterms:created xsi:type="dcterms:W3CDTF">2025-11-03T17:40:00Z</dcterms:created>
  <dcterms:modified xsi:type="dcterms:W3CDTF">2025-11-03T17:40:00Z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8dfa27cfa26bfe0be13738b99dbdf1745c16d86e44634de314fc7dea435236d4</vt:lpwstr>
  </property>
</Properties>
</file>