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CAF7D" w14:textId="77777777" w:rsidR="00423D65" w:rsidRDefault="00423D65" w:rsidP="00423D65">
      <w:pPr>
        <w:spacing w:after="0" w:line="360" w:lineRule="auto"/>
        <w:rPr>
          <w:rFonts w:ascii="Times New Roman" w:hAnsi="Times New Roman" w:cs="Times New Roman"/>
          <w:sz w:val="24"/>
          <w:szCs w:val="24"/>
        </w:rPr>
      </w:pPr>
    </w:p>
    <w:p w14:paraId="3DB96689" w14:textId="77777777" w:rsidR="00222665" w:rsidRDefault="00222665" w:rsidP="00423D65">
      <w:pPr>
        <w:spacing w:after="0" w:line="360" w:lineRule="auto"/>
        <w:rPr>
          <w:rFonts w:ascii="Times New Roman" w:hAnsi="Times New Roman" w:cs="Times New Roman"/>
          <w:sz w:val="24"/>
          <w:szCs w:val="24"/>
        </w:rPr>
      </w:pPr>
    </w:p>
    <w:p w14:paraId="5C80BA38" w14:textId="77777777" w:rsidR="00222665" w:rsidRDefault="00222665" w:rsidP="00423D65">
      <w:pPr>
        <w:spacing w:after="0" w:line="360" w:lineRule="auto"/>
        <w:rPr>
          <w:rFonts w:ascii="Times New Roman" w:hAnsi="Times New Roman" w:cs="Times New Roman"/>
          <w:sz w:val="24"/>
          <w:szCs w:val="24"/>
        </w:rPr>
      </w:pPr>
    </w:p>
    <w:p w14:paraId="3F112F8E" w14:textId="77777777" w:rsidR="00FF732C" w:rsidRDefault="00FF732C" w:rsidP="00FF732C">
      <w:r>
        <w:rPr>
          <w:noProof/>
        </w:rPr>
        <mc:AlternateContent>
          <mc:Choice Requires="wps">
            <w:drawing>
              <wp:anchor distT="0" distB="0" distL="114300" distR="114300" simplePos="0" relativeHeight="251701248" behindDoc="0" locked="0" layoutInCell="1" allowOverlap="1" wp14:anchorId="54BFD392" wp14:editId="5E246A0B">
                <wp:simplePos x="0" y="0"/>
                <wp:positionH relativeFrom="column">
                  <wp:posOffset>2514600</wp:posOffset>
                </wp:positionH>
                <wp:positionV relativeFrom="paragraph">
                  <wp:posOffset>-247650</wp:posOffset>
                </wp:positionV>
                <wp:extent cx="4540250" cy="617517"/>
                <wp:effectExtent l="0" t="0" r="0" b="0"/>
                <wp:wrapNone/>
                <wp:docPr id="6" name="Text Box 6"/>
                <wp:cNvGraphicFramePr/>
                <a:graphic xmlns:a="http://schemas.openxmlformats.org/drawingml/2006/main">
                  <a:graphicData uri="http://schemas.microsoft.com/office/word/2010/wordprocessingShape">
                    <wps:wsp>
                      <wps:cNvSpPr txBox="1"/>
                      <wps:spPr>
                        <a:xfrm>
                          <a:off x="0" y="0"/>
                          <a:ext cx="4540250"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9BB8D" w14:textId="77777777" w:rsidR="00FF732C" w:rsidRDefault="00FF732C" w:rsidP="00FF732C">
                            <w:r w:rsidRPr="009D0CB5">
                              <w:rPr>
                                <w:noProof/>
                              </w:rPr>
                              <w:drawing>
                                <wp:inline distT="0" distB="0" distL="0" distR="0" wp14:anchorId="22BAB3CC" wp14:editId="6F9056C6">
                                  <wp:extent cx="760095" cy="6769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 cy="676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FD392" id="_x0000_t202" coordsize="21600,21600" o:spt="202" path="m,l,21600r21600,l21600,xe">
                <v:stroke joinstyle="miter"/>
                <v:path gradientshapeok="t" o:connecttype="rect"/>
              </v:shapetype>
              <v:shape id="Text Box 6" o:spid="_x0000_s1026" type="#_x0000_t202" style="position:absolute;margin-left:198pt;margin-top:-19.5pt;width:357.5pt;height:4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" fillcolor="white [3201]" stroked="f" strokeweight=".5pt">
                <v:textbox>
                  <w:txbxContent>
                    <w:p w14:paraId="2DE9BB8D" w14:textId="77777777" w:rsidR="00FF732C" w:rsidRDefault="00FF732C" w:rsidP="00FF732C">
                      <w:r w:rsidRPr="009D0CB5">
                        <w:rPr>
                          <w:noProof/>
                        </w:rPr>
                        <w:drawing>
                          <wp:inline distT="0" distB="0" distL="0" distR="0" wp14:anchorId="22BAB3CC" wp14:editId="6F9056C6">
                            <wp:extent cx="760095" cy="6769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 cy="6769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6051851" wp14:editId="7C82999D">
                <wp:simplePos x="0" y="0"/>
                <wp:positionH relativeFrom="column">
                  <wp:posOffset>985520</wp:posOffset>
                </wp:positionH>
                <wp:positionV relativeFrom="paragraph">
                  <wp:posOffset>-249555</wp:posOffset>
                </wp:positionV>
                <wp:extent cx="1531620" cy="61722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31620" cy="617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DD694" w14:textId="77777777" w:rsidR="00FF732C" w:rsidRDefault="00FF732C" w:rsidP="00FF732C">
                            <w:r>
                              <w:rPr>
                                <w:noProof/>
                              </w:rPr>
                              <w:drawing>
                                <wp:inline distT="0" distB="0" distL="0" distR="0" wp14:anchorId="280645D9" wp14:editId="13B26D20">
                                  <wp:extent cx="1437005" cy="570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570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1851" id="Text Box 4" o:spid="_x0000_s1027" type="#_x0000_t202" style="position:absolute;margin-left:77.6pt;margin-top:-19.65pt;width:120.6pt;height:4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" fillcolor="white [3201]" stroked="f" strokeweight=".5pt">
                <v:textbox>
                  <w:txbxContent>
                    <w:p w14:paraId="0F5DD694" w14:textId="77777777" w:rsidR="00FF732C" w:rsidRDefault="00FF732C" w:rsidP="00FF732C">
                      <w:r>
                        <w:rPr>
                          <w:noProof/>
                        </w:rPr>
                        <w:drawing>
                          <wp:inline distT="0" distB="0" distL="0" distR="0" wp14:anchorId="280645D9" wp14:editId="13B26D20">
                            <wp:extent cx="1437005" cy="570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7005" cy="570230"/>
                                    </a:xfrm>
                                    <a:prstGeom prst="rect">
                                      <a:avLst/>
                                    </a:prstGeom>
                                    <a:noFill/>
                                    <a:ln>
                                      <a:noFill/>
                                    </a:ln>
                                  </pic:spPr>
                                </pic:pic>
                              </a:graphicData>
                            </a:graphic>
                          </wp:inline>
                        </w:drawing>
                      </w:r>
                    </w:p>
                  </w:txbxContent>
                </v:textbox>
              </v:shape>
            </w:pict>
          </mc:Fallback>
        </mc:AlternateContent>
      </w:r>
    </w:p>
    <w:p w14:paraId="115A26A4" w14:textId="77777777" w:rsidR="00FF732C" w:rsidRDefault="00FF732C" w:rsidP="00FF732C"/>
    <w:p w14:paraId="4A892311" w14:textId="77777777" w:rsidR="00FF732C" w:rsidRDefault="00FF732C" w:rsidP="00FF732C">
      <w:pPr>
        <w:tabs>
          <w:tab w:val="left" w:pos="3217"/>
        </w:tabs>
      </w:pPr>
      <w:r>
        <w:tab/>
      </w:r>
    </w:p>
    <w:p w14:paraId="0A131394" w14:textId="24E46A47" w:rsidR="00FF732C" w:rsidRPr="003A7E0C" w:rsidRDefault="00FF732C" w:rsidP="00FF732C">
      <w:pPr>
        <w:tabs>
          <w:tab w:val="left" w:pos="3217"/>
        </w:tabs>
        <w:rPr>
          <w:rFonts w:ascii="Times New Roman" w:hAnsi="Times New Roman" w:cs="Times New Roman"/>
          <w:sz w:val="28"/>
          <w:szCs w:val="28"/>
        </w:rPr>
      </w:pPr>
      <w:r w:rsidRPr="003A7E0C">
        <w:rPr>
          <w:rFonts w:ascii="Times New Roman" w:hAnsi="Times New Roman" w:cs="Times New Roman"/>
          <w:sz w:val="52"/>
          <w:szCs w:val="52"/>
        </w:rPr>
        <w:t xml:space="preserve">Liberia Extractive Industries Transparency Initiative Approved </w:t>
      </w:r>
      <w:r>
        <w:rPr>
          <w:rFonts w:ascii="Times New Roman" w:hAnsi="Times New Roman" w:cs="Times New Roman"/>
          <w:sz w:val="52"/>
          <w:szCs w:val="52"/>
        </w:rPr>
        <w:t>Annual Progress Report- 2025</w:t>
      </w:r>
    </w:p>
    <w:p w14:paraId="18E2C46C" w14:textId="77777777" w:rsidR="00FF732C" w:rsidRPr="003A7E0C" w:rsidRDefault="00FF732C" w:rsidP="00FF732C">
      <w:pPr>
        <w:tabs>
          <w:tab w:val="left" w:pos="3217"/>
        </w:tabs>
        <w:rPr>
          <w:rFonts w:ascii="Times New Roman" w:hAnsi="Times New Roman" w:cs="Times New Roman"/>
          <w:sz w:val="28"/>
          <w:szCs w:val="28"/>
        </w:rPr>
      </w:pPr>
    </w:p>
    <w:p w14:paraId="4E962ACA" w14:textId="77777777" w:rsidR="00FF732C" w:rsidRPr="003A7E0C" w:rsidRDefault="00FF732C" w:rsidP="00FF732C">
      <w:pPr>
        <w:tabs>
          <w:tab w:val="left" w:pos="3217"/>
        </w:tabs>
        <w:rPr>
          <w:rFonts w:ascii="Times New Roman" w:hAnsi="Times New Roman" w:cs="Times New Roman"/>
          <w:b/>
          <w:sz w:val="32"/>
          <w:szCs w:val="28"/>
        </w:rPr>
      </w:pPr>
      <w:r w:rsidRPr="003A7E0C">
        <w:rPr>
          <w:rFonts w:ascii="Times New Roman" w:hAnsi="Times New Roman" w:cs="Times New Roman"/>
          <w:sz w:val="28"/>
          <w:szCs w:val="28"/>
        </w:rPr>
        <w:t xml:space="preserve">Prepared by: </w:t>
      </w:r>
      <w:r w:rsidRPr="003A7E0C">
        <w:rPr>
          <w:rFonts w:ascii="Times New Roman" w:hAnsi="Times New Roman" w:cs="Times New Roman"/>
          <w:b/>
          <w:sz w:val="32"/>
          <w:szCs w:val="28"/>
        </w:rPr>
        <w:t>LEITI Secretariat</w:t>
      </w:r>
    </w:p>
    <w:p w14:paraId="71F47321" w14:textId="77777777" w:rsidR="00FF732C" w:rsidRPr="003A7E0C" w:rsidRDefault="00FF732C" w:rsidP="00FF732C">
      <w:pPr>
        <w:tabs>
          <w:tab w:val="left" w:pos="3217"/>
        </w:tabs>
        <w:rPr>
          <w:rFonts w:ascii="Times New Roman" w:hAnsi="Times New Roman" w:cs="Times New Roman"/>
          <w:b/>
          <w:sz w:val="32"/>
          <w:szCs w:val="28"/>
        </w:rPr>
      </w:pPr>
      <w:r w:rsidRPr="003A7E0C">
        <w:rPr>
          <w:rFonts w:ascii="Times New Roman" w:hAnsi="Times New Roman" w:cs="Times New Roman"/>
          <w:b/>
          <w:sz w:val="32"/>
          <w:szCs w:val="28"/>
        </w:rPr>
        <w:t>Approved by: Multi-Stakeholder Group</w:t>
      </w:r>
    </w:p>
    <w:p w14:paraId="49F19A78" w14:textId="77777777" w:rsidR="00FF732C" w:rsidRDefault="00FF732C" w:rsidP="00FF732C">
      <w:pPr>
        <w:tabs>
          <w:tab w:val="left" w:pos="3217"/>
        </w:tabs>
        <w:rPr>
          <w:rFonts w:ascii="Palatino Linotype" w:hAnsi="Palatino Linotype"/>
          <w:b/>
          <w:sz w:val="32"/>
          <w:szCs w:val="28"/>
        </w:rPr>
      </w:pPr>
    </w:p>
    <w:p w14:paraId="0DB33B17" w14:textId="77777777" w:rsidR="00222665" w:rsidRDefault="00222665" w:rsidP="00423D65">
      <w:pPr>
        <w:spacing w:after="0" w:line="360" w:lineRule="auto"/>
        <w:rPr>
          <w:rFonts w:ascii="Times New Roman" w:hAnsi="Times New Roman" w:cs="Times New Roman"/>
          <w:sz w:val="24"/>
          <w:szCs w:val="24"/>
        </w:rPr>
      </w:pPr>
    </w:p>
    <w:p w14:paraId="6D4F5261" w14:textId="77777777" w:rsidR="00222665" w:rsidRDefault="00222665" w:rsidP="00423D65">
      <w:pPr>
        <w:spacing w:after="0" w:line="360" w:lineRule="auto"/>
        <w:rPr>
          <w:rFonts w:ascii="Times New Roman" w:hAnsi="Times New Roman" w:cs="Times New Roman"/>
          <w:sz w:val="24"/>
          <w:szCs w:val="24"/>
        </w:rPr>
      </w:pPr>
    </w:p>
    <w:p w14:paraId="17B990AB" w14:textId="77777777" w:rsidR="00222665" w:rsidRDefault="00222665" w:rsidP="00423D65">
      <w:pPr>
        <w:spacing w:after="0" w:line="360" w:lineRule="auto"/>
        <w:rPr>
          <w:rFonts w:ascii="Times New Roman" w:hAnsi="Times New Roman" w:cs="Times New Roman"/>
          <w:sz w:val="24"/>
          <w:szCs w:val="24"/>
        </w:rPr>
      </w:pPr>
    </w:p>
    <w:p w14:paraId="390D8EA0" w14:textId="77777777" w:rsidR="00222665" w:rsidRDefault="00222665" w:rsidP="00423D65">
      <w:pPr>
        <w:spacing w:after="0" w:line="360" w:lineRule="auto"/>
        <w:rPr>
          <w:rFonts w:ascii="Times New Roman" w:hAnsi="Times New Roman" w:cs="Times New Roman"/>
          <w:sz w:val="24"/>
          <w:szCs w:val="24"/>
        </w:rPr>
      </w:pPr>
    </w:p>
    <w:p w14:paraId="2C5C718E" w14:textId="77777777" w:rsidR="00222665" w:rsidRDefault="00222665" w:rsidP="00423D65">
      <w:pPr>
        <w:spacing w:after="0" w:line="360" w:lineRule="auto"/>
        <w:rPr>
          <w:rFonts w:ascii="Times New Roman" w:hAnsi="Times New Roman" w:cs="Times New Roman"/>
          <w:sz w:val="24"/>
          <w:szCs w:val="24"/>
        </w:rPr>
      </w:pPr>
    </w:p>
    <w:p w14:paraId="65EA3121" w14:textId="77777777" w:rsidR="00222665" w:rsidRDefault="00222665" w:rsidP="00423D65">
      <w:pPr>
        <w:spacing w:after="0" w:line="360" w:lineRule="auto"/>
        <w:rPr>
          <w:rFonts w:ascii="Times New Roman" w:hAnsi="Times New Roman" w:cs="Times New Roman"/>
          <w:sz w:val="24"/>
          <w:szCs w:val="24"/>
        </w:rPr>
      </w:pPr>
    </w:p>
    <w:p w14:paraId="0F348A4B" w14:textId="77777777" w:rsidR="00222665" w:rsidRDefault="00222665" w:rsidP="00423D65">
      <w:pPr>
        <w:spacing w:after="0" w:line="360" w:lineRule="auto"/>
        <w:rPr>
          <w:rFonts w:ascii="Times New Roman" w:hAnsi="Times New Roman" w:cs="Times New Roman"/>
          <w:sz w:val="24"/>
          <w:szCs w:val="24"/>
        </w:rPr>
      </w:pPr>
    </w:p>
    <w:p w14:paraId="328B7EA3" w14:textId="77777777" w:rsidR="00222665" w:rsidRDefault="00222665" w:rsidP="00423D65">
      <w:pPr>
        <w:spacing w:after="0" w:line="360" w:lineRule="auto"/>
        <w:rPr>
          <w:rFonts w:ascii="Times New Roman" w:hAnsi="Times New Roman" w:cs="Times New Roman"/>
          <w:sz w:val="24"/>
          <w:szCs w:val="24"/>
        </w:rPr>
      </w:pPr>
    </w:p>
    <w:p w14:paraId="2AE6C3D5" w14:textId="77777777" w:rsidR="00222665" w:rsidRDefault="00222665" w:rsidP="00423D65">
      <w:pPr>
        <w:spacing w:after="0" w:line="360" w:lineRule="auto"/>
        <w:rPr>
          <w:rFonts w:ascii="Times New Roman" w:hAnsi="Times New Roman" w:cs="Times New Roman"/>
          <w:sz w:val="24"/>
          <w:szCs w:val="24"/>
        </w:rPr>
      </w:pPr>
    </w:p>
    <w:p w14:paraId="279ABA97" w14:textId="77777777" w:rsidR="00222665" w:rsidRDefault="00222665" w:rsidP="00423D65">
      <w:pPr>
        <w:spacing w:after="0" w:line="360" w:lineRule="auto"/>
        <w:rPr>
          <w:rFonts w:ascii="Times New Roman" w:hAnsi="Times New Roman" w:cs="Times New Roman"/>
          <w:sz w:val="24"/>
          <w:szCs w:val="24"/>
        </w:rPr>
      </w:pPr>
    </w:p>
    <w:p w14:paraId="517F822B" w14:textId="77777777" w:rsidR="00222665" w:rsidRDefault="00222665" w:rsidP="00423D65">
      <w:pPr>
        <w:spacing w:after="0" w:line="360" w:lineRule="auto"/>
        <w:rPr>
          <w:rFonts w:ascii="Times New Roman" w:hAnsi="Times New Roman" w:cs="Times New Roman"/>
          <w:sz w:val="24"/>
          <w:szCs w:val="24"/>
        </w:rPr>
      </w:pPr>
    </w:p>
    <w:p w14:paraId="6CCCCC5D" w14:textId="77777777" w:rsidR="00222665" w:rsidRDefault="00222665" w:rsidP="00423D65">
      <w:pPr>
        <w:spacing w:after="0" w:line="360" w:lineRule="auto"/>
        <w:rPr>
          <w:rFonts w:ascii="Times New Roman" w:hAnsi="Times New Roman" w:cs="Times New Roman"/>
          <w:sz w:val="24"/>
          <w:szCs w:val="24"/>
        </w:rPr>
      </w:pPr>
    </w:p>
    <w:p w14:paraId="45178F17" w14:textId="77777777" w:rsidR="00222665" w:rsidRDefault="00222665" w:rsidP="00423D65">
      <w:pPr>
        <w:spacing w:after="0" w:line="360" w:lineRule="auto"/>
        <w:rPr>
          <w:rFonts w:ascii="Times New Roman" w:hAnsi="Times New Roman" w:cs="Times New Roman"/>
          <w:sz w:val="24"/>
          <w:szCs w:val="24"/>
        </w:rPr>
      </w:pPr>
    </w:p>
    <w:p w14:paraId="3DE170F9" w14:textId="77777777" w:rsidR="00222665" w:rsidRDefault="00222665" w:rsidP="00423D65">
      <w:pPr>
        <w:spacing w:after="0" w:line="360" w:lineRule="auto"/>
        <w:rPr>
          <w:rFonts w:ascii="Times New Roman" w:hAnsi="Times New Roman" w:cs="Times New Roman"/>
          <w:sz w:val="24"/>
          <w:szCs w:val="24"/>
        </w:rPr>
      </w:pPr>
    </w:p>
    <w:sdt>
      <w:sdtPr>
        <w:id w:val="1521977007"/>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14:paraId="171C68C2" w14:textId="705D9921" w:rsidR="00222665" w:rsidRPr="00222665" w:rsidRDefault="00222665">
          <w:pPr>
            <w:pStyle w:val="TOCHeading"/>
            <w:rPr>
              <w:rFonts w:ascii="Times New Roman" w:hAnsi="Times New Roman" w:cs="Times New Roman"/>
              <w:sz w:val="24"/>
              <w:szCs w:val="24"/>
            </w:rPr>
          </w:pPr>
          <w:r w:rsidRPr="00222665">
            <w:rPr>
              <w:rFonts w:ascii="Times New Roman" w:hAnsi="Times New Roman" w:cs="Times New Roman"/>
              <w:sz w:val="24"/>
              <w:szCs w:val="24"/>
            </w:rPr>
            <w:t>Table of Contents</w:t>
          </w:r>
        </w:p>
        <w:p w14:paraId="4F46F8BD" w14:textId="6A4AEF31"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r w:rsidRPr="00222665">
            <w:rPr>
              <w:rFonts w:ascii="Times New Roman" w:hAnsi="Times New Roman" w:cs="Times New Roman"/>
              <w:sz w:val="24"/>
              <w:szCs w:val="24"/>
            </w:rPr>
            <w:fldChar w:fldCharType="begin"/>
          </w:r>
          <w:r w:rsidRPr="00222665">
            <w:rPr>
              <w:rFonts w:ascii="Times New Roman" w:hAnsi="Times New Roman" w:cs="Times New Roman"/>
              <w:sz w:val="24"/>
              <w:szCs w:val="24"/>
            </w:rPr>
            <w:instrText xml:space="preserve"> TOC \o "1-3" \h \z \u </w:instrText>
          </w:r>
          <w:r w:rsidRPr="00222665">
            <w:rPr>
              <w:rFonts w:ascii="Times New Roman" w:hAnsi="Times New Roman" w:cs="Times New Roman"/>
              <w:sz w:val="24"/>
              <w:szCs w:val="24"/>
            </w:rPr>
            <w:fldChar w:fldCharType="separate"/>
          </w:r>
          <w:hyperlink w:anchor="_Toc217895906" w:history="1">
            <w:r w:rsidRPr="00222665">
              <w:rPr>
                <w:rStyle w:val="Hyperlink"/>
                <w:rFonts w:ascii="Times New Roman" w:hAnsi="Times New Roman" w:cs="Times New Roman"/>
                <w:noProof/>
                <w:sz w:val="24"/>
                <w:szCs w:val="24"/>
              </w:rPr>
              <w:t>Acknowledgment</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_Toc217895906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2</w:t>
            </w:r>
            <w:r w:rsidRPr="00222665">
              <w:rPr>
                <w:rFonts w:ascii="Times New Roman" w:hAnsi="Times New Roman" w:cs="Times New Roman"/>
                <w:noProof/>
                <w:webHidden/>
                <w:sz w:val="24"/>
                <w:szCs w:val="24"/>
              </w:rPr>
              <w:fldChar w:fldCharType="end"/>
            </w:r>
          </w:hyperlink>
        </w:p>
        <w:p w14:paraId="70C14F70" w14:textId="0EC0F76D"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07" w:history="1">
            <w:r w:rsidRPr="00222665">
              <w:rPr>
                <w:rStyle w:val="Hyperlink"/>
                <w:rFonts w:ascii="Times New Roman" w:hAnsi="Times New Roman" w:cs="Times New Roman"/>
                <w:noProof/>
                <w:sz w:val="24"/>
                <w:szCs w:val="24"/>
              </w:rPr>
              <w:t>Acronyms</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_Toc217895907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4</w:t>
            </w:r>
            <w:r w:rsidRPr="00222665">
              <w:rPr>
                <w:rFonts w:ascii="Times New Roman" w:hAnsi="Times New Roman" w:cs="Times New Roman"/>
                <w:noProof/>
                <w:webHidden/>
                <w:sz w:val="24"/>
                <w:szCs w:val="24"/>
              </w:rPr>
              <w:fldChar w:fldCharType="end"/>
            </w:r>
          </w:hyperlink>
        </w:p>
        <w:p w14:paraId="4311614A" w14:textId="1A97EA04"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08" w:history="1">
            <w:r w:rsidRPr="00222665">
              <w:rPr>
                <w:rStyle w:val="Hyperlink"/>
                <w:rFonts w:ascii="Times New Roman" w:hAnsi="Times New Roman" w:cs="Times New Roman"/>
                <w:noProof/>
                <w:sz w:val="24"/>
                <w:szCs w:val="24"/>
              </w:rPr>
              <w:t>Background/Introduction</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_Toc217895908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6</w:t>
            </w:r>
            <w:r w:rsidRPr="00222665">
              <w:rPr>
                <w:rFonts w:ascii="Times New Roman" w:hAnsi="Times New Roman" w:cs="Times New Roman"/>
                <w:noProof/>
                <w:webHidden/>
                <w:sz w:val="24"/>
                <w:szCs w:val="24"/>
              </w:rPr>
              <w:fldChar w:fldCharType="end"/>
            </w:r>
          </w:hyperlink>
        </w:p>
        <w:p w14:paraId="0CCE396A" w14:textId="06CEB837"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09" w:history="1">
            <w:r w:rsidRPr="00222665">
              <w:rPr>
                <w:rStyle w:val="Hyperlink"/>
                <w:rFonts w:ascii="Times New Roman" w:hAnsi="Times New Roman" w:cs="Times New Roman"/>
                <w:noProof/>
                <w:sz w:val="24"/>
                <w:szCs w:val="24"/>
              </w:rPr>
              <w:t>Executive Summary</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_Toc217895909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6</w:t>
            </w:r>
            <w:r w:rsidRPr="00222665">
              <w:rPr>
                <w:rFonts w:ascii="Times New Roman" w:hAnsi="Times New Roman" w:cs="Times New Roman"/>
                <w:noProof/>
                <w:webHidden/>
                <w:sz w:val="24"/>
                <w:szCs w:val="24"/>
              </w:rPr>
              <w:fldChar w:fldCharType="end"/>
            </w:r>
          </w:hyperlink>
        </w:p>
        <w:p w14:paraId="5E7D4FB4" w14:textId="4BDCFCB8"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0" w:history="1">
            <w:r w:rsidRPr="00222665">
              <w:rPr>
                <w:rStyle w:val="Hyperlink"/>
                <w:rFonts w:ascii="Times New Roman" w:hAnsi="Times New Roman" w:cs="Times New Roman"/>
                <w:noProof/>
                <w:sz w:val="24"/>
                <w:szCs w:val="24"/>
              </w:rPr>
              <w:t>I. Assessment of Performance against Target Activities in Work Plan</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_Toc217895910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8</w:t>
            </w:r>
            <w:r w:rsidRPr="00222665">
              <w:rPr>
                <w:rFonts w:ascii="Times New Roman" w:hAnsi="Times New Roman" w:cs="Times New Roman"/>
                <w:noProof/>
                <w:webHidden/>
                <w:sz w:val="24"/>
                <w:szCs w:val="24"/>
              </w:rPr>
              <w:fldChar w:fldCharType="end"/>
            </w:r>
          </w:hyperlink>
        </w:p>
        <w:p w14:paraId="08678F13" w14:textId="331E86BD" w:rsidR="00222665" w:rsidRPr="00222665" w:rsidRDefault="00222665">
          <w:pPr>
            <w:pStyle w:val="TOC3"/>
            <w:tabs>
              <w:tab w:val="right" w:leader="dot" w:pos="9350"/>
            </w:tabs>
            <w:rPr>
              <w:rFonts w:ascii="Times New Roman" w:eastAsiaTheme="minorEastAsia" w:hAnsi="Times New Roman" w:cs="Times New Roman"/>
              <w:noProof/>
              <w:kern w:val="2"/>
              <w:sz w:val="24"/>
              <w:szCs w:val="24"/>
              <w:lang w:val="en-LR" w:eastAsia="en-LR"/>
              <w14:ligatures w14:val="standardContextual"/>
            </w:rPr>
          </w:pPr>
          <w:hyperlink w:anchor="_Toc217895911" w:history="1">
            <w:r w:rsidRPr="00222665">
              <w:rPr>
                <w:rStyle w:val="Hyperlink"/>
                <w:rFonts w:ascii="Times New Roman" w:eastAsia="Times New Roman" w:hAnsi="Times New Roman" w:cs="Times New Roman"/>
                <w:b/>
                <w:bCs/>
                <w:noProof/>
                <w:sz w:val="24"/>
                <w:szCs w:val="24"/>
                <w:lang w:val="en-LR" w:eastAsia="en-LR"/>
              </w:rPr>
              <w:t>Employment in the Extractive Sector</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_Toc217895911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10</w:t>
            </w:r>
            <w:r w:rsidRPr="00222665">
              <w:rPr>
                <w:rFonts w:ascii="Times New Roman" w:hAnsi="Times New Roman" w:cs="Times New Roman"/>
                <w:noProof/>
                <w:webHidden/>
                <w:sz w:val="24"/>
                <w:szCs w:val="24"/>
              </w:rPr>
              <w:fldChar w:fldCharType="end"/>
            </w:r>
          </w:hyperlink>
        </w:p>
        <w:p w14:paraId="07E887D9" w14:textId="3AE1396A"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2" w:history="1">
            <w:r w:rsidRPr="00222665">
              <w:rPr>
                <w:rStyle w:val="Hyperlink"/>
                <w:rFonts w:ascii="Times New Roman" w:hAnsi="Times New Roman" w:cs="Times New Roman"/>
                <w:noProof/>
                <w:sz w:val="24"/>
                <w:szCs w:val="24"/>
              </w:rPr>
              <w:t>WORKPLAN IMPLEMENTATION MATRIX FOR 2024</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_Toc217895912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22</w:t>
            </w:r>
            <w:r w:rsidRPr="00222665">
              <w:rPr>
                <w:rFonts w:ascii="Times New Roman" w:hAnsi="Times New Roman" w:cs="Times New Roman"/>
                <w:noProof/>
                <w:webHidden/>
                <w:sz w:val="24"/>
                <w:szCs w:val="24"/>
              </w:rPr>
              <w:fldChar w:fldCharType="end"/>
            </w:r>
          </w:hyperlink>
        </w:p>
        <w:p w14:paraId="7EB04F4B" w14:textId="4162F4BF"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3" w:history="1">
            <w:r w:rsidRPr="00222665">
              <w:rPr>
                <w:rStyle w:val="Hyperlink"/>
                <w:rFonts w:ascii="Times New Roman" w:hAnsi="Times New Roman" w:cs="Times New Roman"/>
                <w:noProof/>
                <w:sz w:val="24"/>
                <w:szCs w:val="24"/>
              </w:rPr>
              <w:t>Assessment of Performance against EITI Requirement</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_Toc217895913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25</w:t>
            </w:r>
            <w:r w:rsidRPr="00222665">
              <w:rPr>
                <w:rFonts w:ascii="Times New Roman" w:hAnsi="Times New Roman" w:cs="Times New Roman"/>
                <w:noProof/>
                <w:webHidden/>
                <w:sz w:val="24"/>
                <w:szCs w:val="24"/>
              </w:rPr>
              <w:fldChar w:fldCharType="end"/>
            </w:r>
          </w:hyperlink>
        </w:p>
        <w:p w14:paraId="4CDEEAAE" w14:textId="10A49ABF"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4" w:history="1">
            <w:r w:rsidRPr="00222665">
              <w:rPr>
                <w:rStyle w:val="Hyperlink"/>
                <w:rFonts w:ascii="Times New Roman" w:hAnsi="Times New Roman" w:cs="Times New Roman"/>
                <w:noProof/>
                <w:sz w:val="24"/>
                <w:szCs w:val="24"/>
              </w:rPr>
              <w:t>Specific Strengths and Weaknesses identified in the EITI Process</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_Toc217895914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65</w:t>
            </w:r>
            <w:r w:rsidRPr="00222665">
              <w:rPr>
                <w:rFonts w:ascii="Times New Roman" w:hAnsi="Times New Roman" w:cs="Times New Roman"/>
                <w:noProof/>
                <w:webHidden/>
                <w:sz w:val="24"/>
                <w:szCs w:val="24"/>
              </w:rPr>
              <w:fldChar w:fldCharType="end"/>
            </w:r>
          </w:hyperlink>
        </w:p>
        <w:p w14:paraId="1EDDE78F" w14:textId="1AE0C637"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5" w:history="1">
            <w:r w:rsidRPr="00222665">
              <w:rPr>
                <w:rStyle w:val="Hyperlink"/>
                <w:rFonts w:ascii="Times New Roman" w:hAnsi="Times New Roman" w:cs="Times New Roman"/>
                <w:noProof/>
                <w:sz w:val="24"/>
                <w:szCs w:val="24"/>
              </w:rPr>
              <w:t>Total Implementation Cost</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_Toc217895915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66</w:t>
            </w:r>
            <w:r w:rsidRPr="00222665">
              <w:rPr>
                <w:rFonts w:ascii="Times New Roman" w:hAnsi="Times New Roman" w:cs="Times New Roman"/>
                <w:noProof/>
                <w:webHidden/>
                <w:sz w:val="24"/>
                <w:szCs w:val="24"/>
              </w:rPr>
              <w:fldChar w:fldCharType="end"/>
            </w:r>
          </w:hyperlink>
        </w:p>
        <w:p w14:paraId="42092454" w14:textId="55C74A8D"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6" w:history="1">
            <w:r w:rsidRPr="00222665">
              <w:rPr>
                <w:rStyle w:val="Hyperlink"/>
                <w:rFonts w:ascii="Times New Roman" w:eastAsia="Calibri" w:hAnsi="Times New Roman" w:cs="Times New Roman"/>
                <w:noProof/>
                <w:sz w:val="24"/>
                <w:szCs w:val="24"/>
              </w:rPr>
              <w:t>Activities of the Broader Constituency of the MSG</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_Toc217895916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66</w:t>
            </w:r>
            <w:r w:rsidRPr="00222665">
              <w:rPr>
                <w:rFonts w:ascii="Times New Roman" w:hAnsi="Times New Roman" w:cs="Times New Roman"/>
                <w:noProof/>
                <w:webHidden/>
                <w:sz w:val="24"/>
                <w:szCs w:val="24"/>
              </w:rPr>
              <w:fldChar w:fldCharType="end"/>
            </w:r>
          </w:hyperlink>
        </w:p>
        <w:p w14:paraId="73C37A03" w14:textId="35C11E16" w:rsidR="00222665" w:rsidRPr="00222665" w:rsidRDefault="00222665">
          <w:pPr>
            <w:pStyle w:val="TOC1"/>
            <w:tabs>
              <w:tab w:val="right" w:leader="dot" w:pos="9350"/>
            </w:tabs>
            <w:rPr>
              <w:rFonts w:ascii="Times New Roman" w:hAnsi="Times New Roman" w:cs="Times New Roman"/>
              <w:noProof/>
              <w:kern w:val="2"/>
              <w:sz w:val="24"/>
              <w:szCs w:val="24"/>
              <w:lang w:val="en-LR" w:eastAsia="en-LR"/>
              <w14:ligatures w14:val="standardContextual"/>
            </w:rPr>
          </w:pPr>
          <w:hyperlink w:anchor="_Toc217895917" w:history="1">
            <w:r w:rsidRPr="00222665">
              <w:rPr>
                <w:rStyle w:val="Hyperlink"/>
                <w:rFonts w:ascii="Times New Roman" w:hAnsi="Times New Roman" w:cs="Times New Roman"/>
                <w:noProof/>
                <w:sz w:val="24"/>
                <w:szCs w:val="24"/>
              </w:rPr>
              <w:t>Details of Membership of the MSG during the Period</w:t>
            </w:r>
            <w:r w:rsidRPr="00222665">
              <w:rPr>
                <w:rFonts w:ascii="Times New Roman" w:hAnsi="Times New Roman" w:cs="Times New Roman"/>
                <w:noProof/>
                <w:webHidden/>
                <w:sz w:val="24"/>
                <w:szCs w:val="24"/>
              </w:rPr>
              <w:tab/>
            </w:r>
            <w:r w:rsidRPr="00222665">
              <w:rPr>
                <w:rFonts w:ascii="Times New Roman" w:hAnsi="Times New Roman" w:cs="Times New Roman"/>
                <w:noProof/>
                <w:webHidden/>
                <w:sz w:val="24"/>
                <w:szCs w:val="24"/>
              </w:rPr>
              <w:fldChar w:fldCharType="begin"/>
            </w:r>
            <w:r w:rsidRPr="00222665">
              <w:rPr>
                <w:rFonts w:ascii="Times New Roman" w:hAnsi="Times New Roman" w:cs="Times New Roman"/>
                <w:noProof/>
                <w:webHidden/>
                <w:sz w:val="24"/>
                <w:szCs w:val="24"/>
              </w:rPr>
              <w:instrText xml:space="preserve"> PAGEREF _Toc217895917 \h </w:instrText>
            </w:r>
            <w:r w:rsidRPr="00222665">
              <w:rPr>
                <w:rFonts w:ascii="Times New Roman" w:hAnsi="Times New Roman" w:cs="Times New Roman"/>
                <w:noProof/>
                <w:webHidden/>
                <w:sz w:val="24"/>
                <w:szCs w:val="24"/>
              </w:rPr>
            </w:r>
            <w:r w:rsidRPr="00222665">
              <w:rPr>
                <w:rFonts w:ascii="Times New Roman" w:hAnsi="Times New Roman" w:cs="Times New Roman"/>
                <w:noProof/>
                <w:webHidden/>
                <w:sz w:val="24"/>
                <w:szCs w:val="24"/>
              </w:rPr>
              <w:fldChar w:fldCharType="separate"/>
            </w:r>
            <w:r w:rsidRPr="00222665">
              <w:rPr>
                <w:rFonts w:ascii="Times New Roman" w:hAnsi="Times New Roman" w:cs="Times New Roman"/>
                <w:noProof/>
                <w:webHidden/>
                <w:sz w:val="24"/>
                <w:szCs w:val="24"/>
              </w:rPr>
              <w:t>70</w:t>
            </w:r>
            <w:r w:rsidRPr="00222665">
              <w:rPr>
                <w:rFonts w:ascii="Times New Roman" w:hAnsi="Times New Roman" w:cs="Times New Roman"/>
                <w:noProof/>
                <w:webHidden/>
                <w:sz w:val="24"/>
                <w:szCs w:val="24"/>
              </w:rPr>
              <w:fldChar w:fldCharType="end"/>
            </w:r>
          </w:hyperlink>
        </w:p>
        <w:p w14:paraId="37EBA52E" w14:textId="4CABF55A" w:rsidR="00222665" w:rsidRDefault="00222665">
          <w:r w:rsidRPr="00222665">
            <w:rPr>
              <w:rFonts w:ascii="Times New Roman" w:hAnsi="Times New Roman" w:cs="Times New Roman"/>
              <w:b/>
              <w:bCs/>
              <w:noProof/>
              <w:sz w:val="24"/>
              <w:szCs w:val="24"/>
            </w:rPr>
            <w:fldChar w:fldCharType="end"/>
          </w:r>
        </w:p>
      </w:sdtContent>
    </w:sdt>
    <w:p w14:paraId="02D157B6" w14:textId="77777777" w:rsidR="00222665" w:rsidRDefault="00222665" w:rsidP="00423D65">
      <w:pPr>
        <w:spacing w:after="0" w:line="360" w:lineRule="auto"/>
        <w:rPr>
          <w:rFonts w:ascii="Times New Roman" w:hAnsi="Times New Roman" w:cs="Times New Roman"/>
          <w:sz w:val="24"/>
          <w:szCs w:val="24"/>
        </w:rPr>
      </w:pPr>
    </w:p>
    <w:p w14:paraId="13BEDED7" w14:textId="77777777" w:rsidR="00222665" w:rsidRDefault="00222665" w:rsidP="00423D65">
      <w:pPr>
        <w:spacing w:after="0" w:line="360" w:lineRule="auto"/>
        <w:rPr>
          <w:rFonts w:ascii="Times New Roman" w:hAnsi="Times New Roman" w:cs="Times New Roman"/>
          <w:sz w:val="24"/>
          <w:szCs w:val="24"/>
        </w:rPr>
      </w:pPr>
    </w:p>
    <w:p w14:paraId="347A3762" w14:textId="77777777" w:rsidR="00222665" w:rsidRDefault="00222665" w:rsidP="00423D65">
      <w:pPr>
        <w:spacing w:after="0" w:line="360" w:lineRule="auto"/>
        <w:rPr>
          <w:rFonts w:ascii="Times New Roman" w:hAnsi="Times New Roman" w:cs="Times New Roman"/>
          <w:sz w:val="24"/>
          <w:szCs w:val="24"/>
        </w:rPr>
      </w:pPr>
    </w:p>
    <w:p w14:paraId="0340E680" w14:textId="77777777" w:rsidR="00222665" w:rsidRDefault="00222665" w:rsidP="00423D65">
      <w:pPr>
        <w:spacing w:after="0" w:line="360" w:lineRule="auto"/>
        <w:rPr>
          <w:rFonts w:ascii="Times New Roman" w:hAnsi="Times New Roman" w:cs="Times New Roman"/>
          <w:sz w:val="24"/>
          <w:szCs w:val="24"/>
        </w:rPr>
      </w:pPr>
    </w:p>
    <w:p w14:paraId="43EC901D" w14:textId="77777777" w:rsidR="00222665" w:rsidRDefault="00222665" w:rsidP="00423D65">
      <w:pPr>
        <w:spacing w:after="0" w:line="360" w:lineRule="auto"/>
        <w:rPr>
          <w:rFonts w:ascii="Times New Roman" w:hAnsi="Times New Roman" w:cs="Times New Roman"/>
          <w:sz w:val="24"/>
          <w:szCs w:val="24"/>
        </w:rPr>
      </w:pPr>
    </w:p>
    <w:p w14:paraId="699CA57E" w14:textId="77777777" w:rsidR="00222665" w:rsidRDefault="00222665" w:rsidP="00423D65">
      <w:pPr>
        <w:spacing w:after="0" w:line="360" w:lineRule="auto"/>
        <w:rPr>
          <w:rFonts w:ascii="Times New Roman" w:hAnsi="Times New Roman" w:cs="Times New Roman"/>
          <w:sz w:val="24"/>
          <w:szCs w:val="24"/>
        </w:rPr>
      </w:pPr>
    </w:p>
    <w:p w14:paraId="5AEDB5AB" w14:textId="77777777" w:rsidR="00222665" w:rsidRDefault="00222665" w:rsidP="00423D65">
      <w:pPr>
        <w:spacing w:after="0" w:line="360" w:lineRule="auto"/>
        <w:rPr>
          <w:rFonts w:ascii="Times New Roman" w:hAnsi="Times New Roman" w:cs="Times New Roman"/>
          <w:sz w:val="24"/>
          <w:szCs w:val="24"/>
        </w:rPr>
      </w:pPr>
    </w:p>
    <w:p w14:paraId="1D967355" w14:textId="77777777" w:rsidR="00222665" w:rsidRDefault="00222665" w:rsidP="00423D65">
      <w:pPr>
        <w:spacing w:after="0" w:line="360" w:lineRule="auto"/>
        <w:rPr>
          <w:rFonts w:ascii="Times New Roman" w:hAnsi="Times New Roman" w:cs="Times New Roman"/>
          <w:sz w:val="24"/>
          <w:szCs w:val="24"/>
        </w:rPr>
      </w:pPr>
    </w:p>
    <w:p w14:paraId="5874C7E6" w14:textId="77777777" w:rsidR="00222665" w:rsidRDefault="00222665" w:rsidP="00423D65">
      <w:pPr>
        <w:spacing w:after="0" w:line="360" w:lineRule="auto"/>
        <w:rPr>
          <w:rFonts w:ascii="Times New Roman" w:hAnsi="Times New Roman" w:cs="Times New Roman"/>
          <w:sz w:val="24"/>
          <w:szCs w:val="24"/>
        </w:rPr>
      </w:pPr>
    </w:p>
    <w:p w14:paraId="245DE6D5" w14:textId="77777777" w:rsidR="00222665" w:rsidRDefault="00222665" w:rsidP="00423D65">
      <w:pPr>
        <w:spacing w:after="0" w:line="360" w:lineRule="auto"/>
        <w:rPr>
          <w:rFonts w:ascii="Times New Roman" w:hAnsi="Times New Roman" w:cs="Times New Roman"/>
          <w:sz w:val="24"/>
          <w:szCs w:val="24"/>
        </w:rPr>
      </w:pPr>
    </w:p>
    <w:p w14:paraId="166F8770" w14:textId="77777777" w:rsidR="00222665" w:rsidRDefault="00222665" w:rsidP="00423D65">
      <w:pPr>
        <w:spacing w:after="0" w:line="360" w:lineRule="auto"/>
        <w:rPr>
          <w:rFonts w:ascii="Times New Roman" w:hAnsi="Times New Roman" w:cs="Times New Roman"/>
          <w:sz w:val="24"/>
          <w:szCs w:val="24"/>
        </w:rPr>
      </w:pPr>
    </w:p>
    <w:p w14:paraId="03B4D931" w14:textId="77777777" w:rsidR="00222665" w:rsidRPr="00B64E68" w:rsidRDefault="00222665" w:rsidP="00423D65">
      <w:pPr>
        <w:spacing w:after="0" w:line="360" w:lineRule="auto"/>
        <w:rPr>
          <w:rFonts w:ascii="Times New Roman" w:hAnsi="Times New Roman" w:cs="Times New Roman"/>
          <w:sz w:val="24"/>
          <w:szCs w:val="24"/>
        </w:rPr>
      </w:pPr>
    </w:p>
    <w:p w14:paraId="13E5293A" w14:textId="77777777" w:rsidR="00423D65" w:rsidRPr="00B64E68" w:rsidRDefault="00423D65" w:rsidP="00423D65">
      <w:pPr>
        <w:spacing w:after="0" w:line="240" w:lineRule="auto"/>
        <w:jc w:val="both"/>
        <w:rPr>
          <w:rFonts w:ascii="Times New Roman" w:hAnsi="Times New Roman" w:cs="Times New Roman"/>
          <w:sz w:val="24"/>
          <w:szCs w:val="24"/>
        </w:rPr>
      </w:pPr>
    </w:p>
    <w:p w14:paraId="596B4F3D" w14:textId="77777777" w:rsidR="00423D65" w:rsidRPr="00B64E68" w:rsidRDefault="00423D65" w:rsidP="00423D65">
      <w:pPr>
        <w:spacing w:after="0" w:line="240" w:lineRule="auto"/>
        <w:jc w:val="both"/>
        <w:rPr>
          <w:rFonts w:ascii="Times New Roman" w:hAnsi="Times New Roman" w:cs="Times New Roman"/>
          <w:sz w:val="24"/>
          <w:szCs w:val="24"/>
        </w:rPr>
      </w:pPr>
    </w:p>
    <w:p w14:paraId="04CBC7B5" w14:textId="77777777" w:rsidR="00423D65" w:rsidRPr="00B64E68" w:rsidRDefault="00423D65" w:rsidP="00423D65">
      <w:pPr>
        <w:spacing w:after="0" w:line="240" w:lineRule="auto"/>
        <w:jc w:val="both"/>
        <w:rPr>
          <w:rFonts w:ascii="Times New Roman" w:hAnsi="Times New Roman" w:cs="Times New Roman"/>
          <w:sz w:val="24"/>
          <w:szCs w:val="24"/>
        </w:rPr>
      </w:pPr>
    </w:p>
    <w:p w14:paraId="7CD3E6EF" w14:textId="77777777" w:rsidR="00423D65" w:rsidRPr="00B64E68" w:rsidRDefault="00423D65" w:rsidP="00423D65">
      <w:pPr>
        <w:spacing w:after="0" w:line="240" w:lineRule="auto"/>
        <w:jc w:val="both"/>
        <w:rPr>
          <w:rFonts w:ascii="Times New Roman" w:hAnsi="Times New Roman" w:cs="Times New Roman"/>
          <w:sz w:val="24"/>
          <w:szCs w:val="24"/>
        </w:rPr>
      </w:pPr>
    </w:p>
    <w:p w14:paraId="684F4852" w14:textId="77777777" w:rsidR="00423D65" w:rsidRPr="00B64E68" w:rsidRDefault="00423D65" w:rsidP="00222665">
      <w:pPr>
        <w:pStyle w:val="Heading1"/>
      </w:pPr>
      <w:bookmarkStart w:id="0" w:name="_Toc217895906"/>
      <w:r w:rsidRPr="00B64E68">
        <w:lastRenderedPageBreak/>
        <w:t>Acknowledgment</w:t>
      </w:r>
      <w:bookmarkEnd w:id="0"/>
    </w:p>
    <w:p w14:paraId="44966867"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Liberia Extractive Industries Transparency Initiative (LEITI) Multi-Stakeholder Group (MSG) extends its heartfelt gratitude to all stakeholders who have worked tirelessly to achieve the milestones outlined in this 202</w:t>
      </w:r>
      <w:r>
        <w:rPr>
          <w:rFonts w:ascii="Times New Roman" w:eastAsia="Times New Roman" w:hAnsi="Times New Roman" w:cs="Times New Roman"/>
          <w:sz w:val="24"/>
          <w:szCs w:val="24"/>
          <w:lang w:val="en-LR" w:eastAsia="en-LR"/>
        </w:rPr>
        <w:t>5</w:t>
      </w:r>
      <w:r w:rsidRPr="00B64E68">
        <w:rPr>
          <w:rFonts w:ascii="Times New Roman" w:eastAsia="Times New Roman" w:hAnsi="Times New Roman" w:cs="Times New Roman"/>
          <w:sz w:val="24"/>
          <w:szCs w:val="24"/>
          <w:lang w:val="en-LR" w:eastAsia="en-LR"/>
        </w:rPr>
        <w:t xml:space="preserve"> Annual Activity Report.</w:t>
      </w:r>
    </w:p>
    <w:p w14:paraId="592FFF7F"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To civil society organizations</w:t>
      </w:r>
      <w:r w:rsidRPr="00B64E68">
        <w:rPr>
          <w:rFonts w:ascii="Times New Roman" w:eastAsia="Times New Roman" w:hAnsi="Times New Roman" w:cs="Times New Roman"/>
          <w:sz w:val="24"/>
          <w:szCs w:val="24"/>
          <w:lang w:val="en-LR" w:eastAsia="en-LR"/>
        </w:rPr>
        <w:t>, we commend your unwavering advocacy, which remains a cornerstone of the EITI process in Liberia. Your active engagement ensures that the voices of ordinary Liberians are heard, promoting transparency and accountability in the extractive sector.</w:t>
      </w:r>
    </w:p>
    <w:p w14:paraId="2169A14D"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To the private sector</w:t>
      </w:r>
      <w:r w:rsidRPr="00B64E68">
        <w:rPr>
          <w:rFonts w:ascii="Times New Roman" w:eastAsia="Times New Roman" w:hAnsi="Times New Roman" w:cs="Times New Roman"/>
          <w:sz w:val="24"/>
          <w:szCs w:val="24"/>
          <w:lang w:val="en-LR" w:eastAsia="en-LR"/>
        </w:rPr>
        <w:t>, we recognize your steadfast commitment to disclosure requirements and sustainable investments. Your adherence to these principles strengthens Liberia's investment climate and enhances resource governance.</w:t>
      </w:r>
    </w:p>
    <w:p w14:paraId="6C5DCB9B"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To the Government of Liberia</w:t>
      </w:r>
      <w:r w:rsidRPr="00B64E68">
        <w:rPr>
          <w:rFonts w:ascii="Times New Roman" w:eastAsia="Times New Roman" w:hAnsi="Times New Roman" w:cs="Times New Roman"/>
          <w:sz w:val="24"/>
          <w:szCs w:val="24"/>
          <w:lang w:val="en-LR" w:eastAsia="en-LR"/>
        </w:rPr>
        <w:t>, we sincerely appreciate your continued provision of an enabling environment that fosters progress in the EITI implementation process. Your support is critical to advancing resource transparency and accountability in the country.</w:t>
      </w:r>
    </w:p>
    <w:p w14:paraId="6558E1D5"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We are equally grateful to our international partners, foreign governments, and development organizations, whose unwavering support has been instrumental in achieving key deliverables. In particular, we acknowledge the invaluable contributions of the World Bank, the African Development Bank (AfDB), and the GIZ for their consistent assistance in implementing LEITI work plans.</w:t>
      </w:r>
    </w:p>
    <w:p w14:paraId="1DDC9135"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The role of ordinary Liberians cannot be overstated.</w:t>
      </w:r>
      <w:r w:rsidRPr="00B64E68">
        <w:rPr>
          <w:rFonts w:ascii="Times New Roman" w:eastAsia="Times New Roman" w:hAnsi="Times New Roman" w:cs="Times New Roman"/>
          <w:sz w:val="24"/>
          <w:szCs w:val="24"/>
          <w:lang w:val="en-LR" w:eastAsia="en-LR"/>
        </w:rPr>
        <w:t xml:space="preserve"> Your active participation, particularly during nationwide dissemination exercises, has been pivotal in driving reforms that enhance resource governance. Your insights and feedback ensure that the EITI process remains inclusive and responsive to the needs of all Liberians.</w:t>
      </w:r>
    </w:p>
    <w:p w14:paraId="31BB5627"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LEITI MSG also expresses profound gratitude to the EITI Secretariat, through its Regional Office for Anglophone Africa, for its consistent guidance and support. Your contributions, whether through training or technical advice, have been invaluable in navigating the complexities of EITI implementation.</w:t>
      </w:r>
    </w:p>
    <w:p w14:paraId="7AE4DCF9"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To the dedicated staff of the LEITI Secretariat, we applaud your tireless efforts in managing the day-to-day intricacies of the EITI process. Your commitment, teamwork, and professionalism have been fundamental to LEITI’s sustained progress in promoting transparency and accountability in Liberia's extractive and other covered sectors.</w:t>
      </w:r>
    </w:p>
    <w:p w14:paraId="38FE2F3F"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Finally, we extend our most profound appreciation to </w:t>
      </w:r>
      <w:r w:rsidRPr="00B64E68">
        <w:rPr>
          <w:rFonts w:ascii="Times New Roman" w:eastAsia="Times New Roman" w:hAnsi="Times New Roman" w:cs="Times New Roman"/>
          <w:b/>
          <w:bCs/>
          <w:sz w:val="24"/>
          <w:szCs w:val="24"/>
          <w:lang w:val="en-LR" w:eastAsia="en-LR"/>
        </w:rPr>
        <w:t>His Excellency President Joseph N. Boakai</w:t>
      </w:r>
      <w:r w:rsidRPr="00B64E68">
        <w:rPr>
          <w:rFonts w:ascii="Times New Roman" w:eastAsia="Times New Roman" w:hAnsi="Times New Roman" w:cs="Times New Roman"/>
          <w:sz w:val="24"/>
          <w:szCs w:val="24"/>
          <w:lang w:val="en-LR" w:eastAsia="en-LR"/>
        </w:rPr>
        <w:t xml:space="preserve"> for his leadership and unwavering commitment to the EITI process in Liberia. Your vision and dedication continue to positively shape the future of natural resource governance in our country.</w:t>
      </w:r>
    </w:p>
    <w:p w14:paraId="0A676838" w14:textId="77777777" w:rsidR="00423D65" w:rsidRPr="0036106E"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lastRenderedPageBreak/>
        <w:t>Together, these collective efforts exemplify the power of collaboration and serve as a testament to Liberia’s commitment to building a transparent and accountable extractive sector that benefits all its citizens</w:t>
      </w:r>
      <w:r>
        <w:rPr>
          <w:rFonts w:ascii="Times New Roman" w:eastAsia="Times New Roman" w:hAnsi="Times New Roman" w:cs="Times New Roman"/>
          <w:sz w:val="24"/>
          <w:szCs w:val="24"/>
          <w:lang w:val="en-LR" w:eastAsia="en-LR"/>
        </w:rPr>
        <w:t xml:space="preserve">. </w:t>
      </w:r>
    </w:p>
    <w:p w14:paraId="3C15E823" w14:textId="77777777" w:rsidR="00423D65" w:rsidRPr="00B64E68" w:rsidRDefault="00423D65" w:rsidP="00423D65">
      <w:pPr>
        <w:spacing w:after="0" w:line="240" w:lineRule="auto"/>
        <w:jc w:val="both"/>
        <w:rPr>
          <w:rFonts w:ascii="Times New Roman" w:hAnsi="Times New Roman" w:cs="Times New Roman"/>
          <w:sz w:val="24"/>
          <w:szCs w:val="24"/>
        </w:rPr>
      </w:pPr>
    </w:p>
    <w:p w14:paraId="2F775E9B" w14:textId="77777777" w:rsidR="00423D65" w:rsidRPr="00B64E68" w:rsidRDefault="00423D65" w:rsidP="00423D65">
      <w:pPr>
        <w:spacing w:after="0" w:line="240" w:lineRule="auto"/>
        <w:jc w:val="both"/>
        <w:rPr>
          <w:rFonts w:ascii="Times New Roman" w:hAnsi="Times New Roman" w:cs="Times New Roman"/>
          <w:sz w:val="24"/>
          <w:szCs w:val="24"/>
        </w:rPr>
      </w:pPr>
    </w:p>
    <w:p w14:paraId="11753CA0"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Map of Major Concessions in Liberia</w:t>
      </w:r>
    </w:p>
    <w:p w14:paraId="59A37135" w14:textId="77777777" w:rsidR="00423D65" w:rsidRPr="00B64E68" w:rsidRDefault="00423D65" w:rsidP="00423D65">
      <w:pPr>
        <w:spacing w:after="0" w:line="240" w:lineRule="auto"/>
        <w:jc w:val="both"/>
        <w:rPr>
          <w:rFonts w:ascii="Times New Roman" w:hAnsi="Times New Roman" w:cs="Times New Roman"/>
          <w:sz w:val="24"/>
          <w:szCs w:val="24"/>
        </w:rPr>
      </w:pPr>
    </w:p>
    <w:p w14:paraId="6E3AE919" w14:textId="77777777" w:rsidR="00423D65" w:rsidRPr="00B64E68" w:rsidRDefault="00423D65" w:rsidP="00423D65">
      <w:pPr>
        <w:spacing w:after="0" w:line="240" w:lineRule="auto"/>
        <w:jc w:val="both"/>
        <w:rPr>
          <w:rFonts w:ascii="Times New Roman" w:hAnsi="Times New Roman" w:cs="Times New Roman"/>
          <w:sz w:val="24"/>
          <w:szCs w:val="24"/>
        </w:rPr>
      </w:pPr>
    </w:p>
    <w:p w14:paraId="650D6508"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noProof/>
          <w:sz w:val="24"/>
          <w:szCs w:val="24"/>
        </w:rPr>
        <w:drawing>
          <wp:anchor distT="0" distB="0" distL="114300" distR="114300" simplePos="0" relativeHeight="251659264" behindDoc="0" locked="0" layoutInCell="1" allowOverlap="1" wp14:anchorId="2E8338FE" wp14:editId="7B2E3BF7">
            <wp:simplePos x="0" y="0"/>
            <wp:positionH relativeFrom="column">
              <wp:posOffset>-285750</wp:posOffset>
            </wp:positionH>
            <wp:positionV relativeFrom="paragraph">
              <wp:posOffset>283845</wp:posOffset>
            </wp:positionV>
            <wp:extent cx="6649085" cy="4352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9085" cy="435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E9D4F9" w14:textId="77777777" w:rsidR="00423D65" w:rsidRPr="00B64E68" w:rsidRDefault="00423D65" w:rsidP="00423D65">
      <w:pPr>
        <w:spacing w:after="0" w:line="240" w:lineRule="auto"/>
        <w:jc w:val="both"/>
        <w:rPr>
          <w:rFonts w:ascii="Times New Roman" w:hAnsi="Times New Roman" w:cs="Times New Roman"/>
          <w:i/>
          <w:sz w:val="24"/>
          <w:szCs w:val="24"/>
          <w:u w:val="single"/>
        </w:rPr>
      </w:pPr>
      <w:r w:rsidRPr="00B64E68">
        <w:rPr>
          <w:rFonts w:ascii="Times New Roman" w:hAnsi="Times New Roman" w:cs="Times New Roman"/>
          <w:sz w:val="24"/>
          <w:szCs w:val="24"/>
        </w:rPr>
        <w:t xml:space="preserve">                                                                                                                                             </w:t>
      </w:r>
      <w:r w:rsidRPr="00B64E68">
        <w:rPr>
          <w:rFonts w:ascii="Times New Roman" w:hAnsi="Times New Roman" w:cs="Times New Roman"/>
          <w:i/>
          <w:sz w:val="24"/>
          <w:szCs w:val="24"/>
          <w:u w:val="single"/>
        </w:rPr>
        <w:t xml:space="preserve"> Legend</w:t>
      </w:r>
    </w:p>
    <w:p w14:paraId="1E9C31F8"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7BF6ED0" wp14:editId="460AF39C">
                <wp:simplePos x="0" y="0"/>
                <wp:positionH relativeFrom="column">
                  <wp:posOffset>4276725</wp:posOffset>
                </wp:positionH>
                <wp:positionV relativeFrom="paragraph">
                  <wp:posOffset>66675</wp:posOffset>
                </wp:positionV>
                <wp:extent cx="1746250" cy="444500"/>
                <wp:effectExtent l="57150" t="19050" r="82550" b="88900"/>
                <wp:wrapNone/>
                <wp:docPr id="9" name="Rectangle 8"/>
                <wp:cNvGraphicFramePr/>
                <a:graphic xmlns:a="http://schemas.openxmlformats.org/drawingml/2006/main">
                  <a:graphicData uri="http://schemas.microsoft.com/office/word/2010/wordprocessingShape">
                    <wps:wsp>
                      <wps:cNvSpPr/>
                      <wps:spPr>
                        <a:xfrm>
                          <a:off x="0" y="0"/>
                          <a:ext cx="1746250" cy="444500"/>
                        </a:xfrm>
                        <a:prstGeom prst="rect">
                          <a:avLst/>
                        </a:prstGeom>
                        <a:solidFill>
                          <a:schemeClr val="bg2">
                            <a:lumMod val="50000"/>
                          </a:schemeClr>
                        </a:solidFill>
                      </wps:spPr>
                      <wps:style>
                        <a:lnRef idx="1">
                          <a:schemeClr val="accent1"/>
                        </a:lnRef>
                        <a:fillRef idx="3">
                          <a:schemeClr val="accent1"/>
                        </a:fillRef>
                        <a:effectRef idx="2">
                          <a:schemeClr val="accent1"/>
                        </a:effectRef>
                        <a:fontRef idx="minor">
                          <a:schemeClr val="lt1"/>
                        </a:fontRef>
                      </wps:style>
                      <wps:txbx>
                        <w:txbxContent>
                          <w:p w14:paraId="72F022FE" w14:textId="77777777" w:rsidR="00423D65" w:rsidRDefault="00423D65" w:rsidP="00423D65">
                            <w:pPr>
                              <w:pStyle w:val="NormalWeb"/>
                              <w:spacing w:before="0" w:beforeAutospacing="0" w:after="0" w:afterAutospacing="0"/>
                              <w:jc w:val="center"/>
                              <w:textAlignment w:val="baseline"/>
                            </w:pPr>
                            <w:r>
                              <w:rPr>
                                <w:color w:val="000000" w:themeColor="text1"/>
                                <w:kern w:val="24"/>
                                <w:sz w:val="28"/>
                                <w:szCs w:val="28"/>
                              </w:rPr>
                              <w:t>Mining Concessions</w:t>
                            </w:r>
                          </w:p>
                        </w:txbxContent>
                      </wps:txbx>
                      <wps:bodyPr anchor="ctr"/>
                    </wps:wsp>
                  </a:graphicData>
                </a:graphic>
              </wp:anchor>
            </w:drawing>
          </mc:Choice>
          <mc:Fallback>
            <w:pict>
              <v:rect w14:anchorId="37BF6ED0" id="Rectangle 8" o:spid="_x0000_s1028" style="position:absolute;left:0;text-align:left;margin-left:336.75pt;margin-top:5.25pt;width:137.5pt;height: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" fillcolor="#747070 [1614]" strokecolor="#4472c4 [3204]" strokeweight=".5pt">
                <v:textbox>
                  <w:txbxContent>
                    <w:p w14:paraId="72F022FE" w14:textId="77777777" w:rsidR="00423D65" w:rsidRDefault="00423D65" w:rsidP="00423D65">
                      <w:pPr>
                        <w:pStyle w:val="NormalWeb"/>
                        <w:spacing w:before="0" w:beforeAutospacing="0" w:after="0" w:afterAutospacing="0"/>
                        <w:jc w:val="center"/>
                        <w:textAlignment w:val="baseline"/>
                      </w:pPr>
                      <w:r>
                        <w:rPr>
                          <w:color w:val="000000" w:themeColor="text1"/>
                          <w:kern w:val="24"/>
                          <w:sz w:val="28"/>
                          <w:szCs w:val="28"/>
                        </w:rPr>
                        <w:t>Mining Concessions</w:t>
                      </w:r>
                    </w:p>
                  </w:txbxContent>
                </v:textbox>
              </v:rect>
            </w:pict>
          </mc:Fallback>
        </mc:AlternateContent>
      </w:r>
    </w:p>
    <w:p w14:paraId="6935C4F1" w14:textId="77777777" w:rsidR="00423D65" w:rsidRPr="00B64E68" w:rsidRDefault="00423D65" w:rsidP="00423D65">
      <w:pPr>
        <w:spacing w:after="0" w:line="240" w:lineRule="auto"/>
        <w:jc w:val="both"/>
        <w:rPr>
          <w:rFonts w:ascii="Times New Roman" w:hAnsi="Times New Roman" w:cs="Times New Roman"/>
          <w:sz w:val="24"/>
          <w:szCs w:val="24"/>
        </w:rPr>
      </w:pPr>
    </w:p>
    <w:p w14:paraId="4ED14730"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Curtsey:  National Investment Commission (NIC)</w:t>
      </w:r>
      <w:r w:rsidRPr="00B64E68">
        <w:rPr>
          <w:rFonts w:ascii="Times New Roman" w:hAnsi="Times New Roman" w:cs="Times New Roman"/>
          <w:noProof/>
          <w:sz w:val="24"/>
          <w:szCs w:val="24"/>
        </w:rPr>
        <w:t xml:space="preserve"> </w:t>
      </w:r>
    </w:p>
    <w:p w14:paraId="4DA4DD05"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D307D8B" wp14:editId="384CF71E">
                <wp:simplePos x="0" y="0"/>
                <wp:positionH relativeFrom="column">
                  <wp:posOffset>4277995</wp:posOffset>
                </wp:positionH>
                <wp:positionV relativeFrom="paragraph">
                  <wp:posOffset>144145</wp:posOffset>
                </wp:positionV>
                <wp:extent cx="1971675" cy="344170"/>
                <wp:effectExtent l="57150" t="19050" r="85725" b="93980"/>
                <wp:wrapNone/>
                <wp:docPr id="10" name="Rectangle 9"/>
                <wp:cNvGraphicFramePr/>
                <a:graphic xmlns:a="http://schemas.openxmlformats.org/drawingml/2006/main">
                  <a:graphicData uri="http://schemas.microsoft.com/office/word/2010/wordprocessingShape">
                    <wps:wsp>
                      <wps:cNvSpPr/>
                      <wps:spPr>
                        <a:xfrm>
                          <a:off x="0" y="0"/>
                          <a:ext cx="1971675" cy="344170"/>
                        </a:xfrm>
                        <a:prstGeom prst="rect">
                          <a:avLst/>
                        </a:prstGeom>
                        <a:solidFill>
                          <a:srgbClr val="00B050"/>
                        </a:solidFill>
                      </wps:spPr>
                      <wps:style>
                        <a:lnRef idx="1">
                          <a:schemeClr val="accent1"/>
                        </a:lnRef>
                        <a:fillRef idx="3">
                          <a:schemeClr val="accent1"/>
                        </a:fillRef>
                        <a:effectRef idx="2">
                          <a:schemeClr val="accent1"/>
                        </a:effectRef>
                        <a:fontRef idx="minor">
                          <a:schemeClr val="lt1"/>
                        </a:fontRef>
                      </wps:style>
                      <wps:txbx>
                        <w:txbxContent>
                          <w:p w14:paraId="779C5176" w14:textId="77777777" w:rsidR="00423D65" w:rsidRDefault="00423D65" w:rsidP="00423D65">
                            <w:pPr>
                              <w:pStyle w:val="NormalWeb"/>
                              <w:spacing w:before="0" w:beforeAutospacing="0" w:after="0" w:afterAutospacing="0"/>
                              <w:jc w:val="center"/>
                              <w:textAlignment w:val="baseline"/>
                            </w:pPr>
                            <w:r>
                              <w:rPr>
                                <w:color w:val="000000" w:themeColor="text1"/>
                                <w:kern w:val="24"/>
                                <w:sz w:val="28"/>
                                <w:szCs w:val="28"/>
                              </w:rPr>
                              <w:t>Agriculture Concessions</w:t>
                            </w:r>
                          </w:p>
                        </w:txbxContent>
                      </wps:txbx>
                      <wps:bodyPr wrap="square" anchor="ctr"/>
                    </wps:wsp>
                  </a:graphicData>
                </a:graphic>
                <wp14:sizeRelH relativeFrom="margin">
                  <wp14:pctWidth>0</wp14:pctWidth>
                </wp14:sizeRelH>
              </wp:anchor>
            </w:drawing>
          </mc:Choice>
          <mc:Fallback>
            <w:pict>
              <v:rect w14:anchorId="2D307D8B" id="Rectangle 9" o:spid="_x0000_s1029" style="position:absolute;left:0;text-align:left;margin-left:336.85pt;margin-top:11.35pt;width:155.25pt;height:27.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" fillcolor="#00b050" strokecolor="#4472c4 [3204]" strokeweight=".5pt">
                <v:textbox>
                  <w:txbxContent>
                    <w:p w14:paraId="779C5176" w14:textId="77777777" w:rsidR="00423D65" w:rsidRDefault="00423D65" w:rsidP="00423D65">
                      <w:pPr>
                        <w:pStyle w:val="NormalWeb"/>
                        <w:spacing w:before="0" w:beforeAutospacing="0" w:after="0" w:afterAutospacing="0"/>
                        <w:jc w:val="center"/>
                        <w:textAlignment w:val="baseline"/>
                      </w:pPr>
                      <w:r>
                        <w:rPr>
                          <w:color w:val="000000" w:themeColor="text1"/>
                          <w:kern w:val="24"/>
                          <w:sz w:val="28"/>
                          <w:szCs w:val="28"/>
                        </w:rPr>
                        <w:t>Agriculture Concessions</w:t>
                      </w:r>
                    </w:p>
                  </w:txbxContent>
                </v:textbox>
              </v:rect>
            </w:pict>
          </mc:Fallback>
        </mc:AlternateContent>
      </w:r>
    </w:p>
    <w:p w14:paraId="48BFE7D3" w14:textId="77777777" w:rsidR="00423D65" w:rsidRPr="00B64E68" w:rsidRDefault="00423D65" w:rsidP="00423D65">
      <w:pPr>
        <w:spacing w:after="0" w:line="240" w:lineRule="auto"/>
        <w:jc w:val="both"/>
        <w:rPr>
          <w:rFonts w:ascii="Times New Roman" w:hAnsi="Times New Roman" w:cs="Times New Roman"/>
          <w:sz w:val="24"/>
          <w:szCs w:val="24"/>
        </w:rPr>
      </w:pPr>
    </w:p>
    <w:p w14:paraId="052D6FC9" w14:textId="77777777" w:rsidR="00423D65" w:rsidRPr="00B64E68" w:rsidRDefault="00423D65" w:rsidP="00423D65">
      <w:pPr>
        <w:spacing w:after="0" w:line="240" w:lineRule="auto"/>
        <w:jc w:val="both"/>
        <w:rPr>
          <w:rFonts w:ascii="Times New Roman" w:hAnsi="Times New Roman" w:cs="Times New Roman"/>
          <w:sz w:val="24"/>
          <w:szCs w:val="24"/>
        </w:rPr>
      </w:pPr>
    </w:p>
    <w:p w14:paraId="3B26153D" w14:textId="77777777" w:rsidR="00423D65" w:rsidRPr="00B64E68" w:rsidRDefault="00423D65" w:rsidP="00423D65">
      <w:pPr>
        <w:spacing w:after="0" w:line="240" w:lineRule="auto"/>
        <w:jc w:val="both"/>
        <w:rPr>
          <w:rFonts w:ascii="Times New Roman" w:hAnsi="Times New Roman" w:cs="Times New Roman"/>
          <w:sz w:val="24"/>
          <w:szCs w:val="24"/>
        </w:rPr>
      </w:pPr>
    </w:p>
    <w:p w14:paraId="3F0986DF" w14:textId="77777777" w:rsidR="00423D65" w:rsidRPr="00B64E68" w:rsidRDefault="00423D65" w:rsidP="00423D65">
      <w:pPr>
        <w:spacing w:after="0" w:line="240" w:lineRule="auto"/>
        <w:jc w:val="both"/>
        <w:rPr>
          <w:rFonts w:ascii="Times New Roman" w:hAnsi="Times New Roman" w:cs="Times New Roman"/>
          <w:sz w:val="24"/>
          <w:szCs w:val="24"/>
        </w:rPr>
      </w:pPr>
    </w:p>
    <w:p w14:paraId="6B87FE50" w14:textId="77777777" w:rsidR="00423D65" w:rsidRPr="00B64E68" w:rsidRDefault="00423D65" w:rsidP="00423D65">
      <w:pPr>
        <w:spacing w:after="0" w:line="240" w:lineRule="auto"/>
        <w:jc w:val="both"/>
        <w:rPr>
          <w:rFonts w:ascii="Times New Roman" w:hAnsi="Times New Roman" w:cs="Times New Roman"/>
          <w:sz w:val="24"/>
          <w:szCs w:val="24"/>
        </w:rPr>
      </w:pPr>
    </w:p>
    <w:p w14:paraId="5B343314" w14:textId="77777777" w:rsidR="00423D65" w:rsidRPr="00B64E68" w:rsidRDefault="00423D65" w:rsidP="00423D65">
      <w:pPr>
        <w:spacing w:after="0" w:line="240" w:lineRule="auto"/>
        <w:jc w:val="both"/>
        <w:rPr>
          <w:rFonts w:ascii="Times New Roman" w:hAnsi="Times New Roman" w:cs="Times New Roman"/>
          <w:sz w:val="24"/>
          <w:szCs w:val="24"/>
        </w:rPr>
      </w:pPr>
    </w:p>
    <w:p w14:paraId="7C987562" w14:textId="77777777" w:rsidR="00423D65" w:rsidRPr="00B64E68" w:rsidRDefault="00423D65" w:rsidP="00423D65">
      <w:pPr>
        <w:spacing w:after="0" w:line="240" w:lineRule="auto"/>
        <w:jc w:val="both"/>
        <w:rPr>
          <w:rFonts w:ascii="Times New Roman" w:hAnsi="Times New Roman" w:cs="Times New Roman"/>
          <w:sz w:val="24"/>
          <w:szCs w:val="24"/>
        </w:rPr>
      </w:pPr>
    </w:p>
    <w:p w14:paraId="7FDC18C0" w14:textId="77777777" w:rsidR="00423D65" w:rsidRPr="00B64E68" w:rsidRDefault="00423D65" w:rsidP="00423D65">
      <w:pPr>
        <w:spacing w:after="0" w:line="240" w:lineRule="auto"/>
        <w:jc w:val="both"/>
        <w:rPr>
          <w:rFonts w:ascii="Times New Roman" w:hAnsi="Times New Roman" w:cs="Times New Roman"/>
          <w:sz w:val="24"/>
          <w:szCs w:val="24"/>
        </w:rPr>
      </w:pPr>
    </w:p>
    <w:p w14:paraId="39AE6A2C" w14:textId="77777777" w:rsidR="00423D65" w:rsidRPr="00B64E68" w:rsidRDefault="00423D65" w:rsidP="00423D65">
      <w:pPr>
        <w:spacing w:after="0" w:line="240" w:lineRule="auto"/>
        <w:jc w:val="both"/>
        <w:rPr>
          <w:rFonts w:ascii="Times New Roman" w:hAnsi="Times New Roman" w:cs="Times New Roman"/>
          <w:sz w:val="24"/>
          <w:szCs w:val="24"/>
        </w:rPr>
      </w:pPr>
    </w:p>
    <w:p w14:paraId="732BED87" w14:textId="77777777" w:rsidR="00423D65" w:rsidRPr="00B64E68" w:rsidRDefault="00423D65" w:rsidP="00423D65">
      <w:pPr>
        <w:spacing w:after="0" w:line="240" w:lineRule="auto"/>
        <w:jc w:val="both"/>
        <w:rPr>
          <w:rFonts w:ascii="Times New Roman" w:hAnsi="Times New Roman" w:cs="Times New Roman"/>
          <w:sz w:val="24"/>
          <w:szCs w:val="24"/>
        </w:rPr>
      </w:pPr>
    </w:p>
    <w:p w14:paraId="7744422F" w14:textId="77777777" w:rsidR="00423D65" w:rsidRPr="00B64E68" w:rsidRDefault="00423D65" w:rsidP="00222665">
      <w:pPr>
        <w:pStyle w:val="Heading1"/>
      </w:pPr>
      <w:bookmarkStart w:id="1" w:name="_Toc217895907"/>
      <w:r w:rsidRPr="00B64E68">
        <w:t>Acronyms</w:t>
      </w:r>
      <w:bookmarkEnd w:id="1"/>
    </w:p>
    <w:p w14:paraId="10AC05E1"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AfDB</w:t>
      </w:r>
      <w:r w:rsidRPr="00B64E68">
        <w:rPr>
          <w:rFonts w:ascii="Times New Roman" w:hAnsi="Times New Roman" w:cs="Times New Roman"/>
          <w:sz w:val="24"/>
          <w:szCs w:val="24"/>
        </w:rPr>
        <w:tab/>
      </w:r>
      <w:r w:rsidRPr="00B64E68">
        <w:rPr>
          <w:rFonts w:ascii="Times New Roman" w:hAnsi="Times New Roman" w:cs="Times New Roman"/>
          <w:sz w:val="24"/>
          <w:szCs w:val="24"/>
        </w:rPr>
        <w:tab/>
        <w:t>African Development Bank</w:t>
      </w:r>
    </w:p>
    <w:p w14:paraId="326A4582"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AML</w:t>
      </w:r>
      <w:r w:rsidRPr="00B64E68">
        <w:rPr>
          <w:rFonts w:ascii="Times New Roman" w:hAnsi="Times New Roman" w:cs="Times New Roman"/>
          <w:sz w:val="24"/>
          <w:szCs w:val="24"/>
        </w:rPr>
        <w:tab/>
      </w:r>
      <w:r w:rsidRPr="00B64E68">
        <w:rPr>
          <w:rFonts w:ascii="Times New Roman" w:hAnsi="Times New Roman" w:cs="Times New Roman"/>
          <w:sz w:val="24"/>
          <w:szCs w:val="24"/>
        </w:rPr>
        <w:tab/>
        <w:t>ArcelorMittal Liberia</w:t>
      </w:r>
    </w:p>
    <w:p w14:paraId="31F94B9E"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BOD</w:t>
      </w:r>
      <w:r w:rsidRPr="00B64E68">
        <w:rPr>
          <w:rFonts w:ascii="Times New Roman" w:hAnsi="Times New Roman" w:cs="Times New Roman"/>
          <w:sz w:val="24"/>
          <w:szCs w:val="24"/>
        </w:rPr>
        <w:tab/>
      </w:r>
      <w:r w:rsidRPr="00B64E68">
        <w:rPr>
          <w:rFonts w:ascii="Times New Roman" w:hAnsi="Times New Roman" w:cs="Times New Roman"/>
          <w:sz w:val="24"/>
          <w:szCs w:val="24"/>
        </w:rPr>
        <w:tab/>
        <w:t>Beneficial Ownership Disclosure</w:t>
      </w:r>
    </w:p>
    <w:p w14:paraId="43D6B980"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CBL</w:t>
      </w:r>
      <w:r w:rsidRPr="00B64E68">
        <w:rPr>
          <w:rFonts w:ascii="Times New Roman" w:hAnsi="Times New Roman" w:cs="Times New Roman"/>
          <w:sz w:val="24"/>
          <w:szCs w:val="24"/>
        </w:rPr>
        <w:tab/>
      </w:r>
      <w:r w:rsidRPr="00B64E68">
        <w:rPr>
          <w:rFonts w:ascii="Times New Roman" w:hAnsi="Times New Roman" w:cs="Times New Roman"/>
          <w:sz w:val="24"/>
          <w:szCs w:val="24"/>
        </w:rPr>
        <w:tab/>
        <w:t>Central Bank of Liberia</w:t>
      </w:r>
    </w:p>
    <w:p w14:paraId="1F9739D2" w14:textId="77777777" w:rsidR="00423D65" w:rsidRPr="00B64E68" w:rsidRDefault="00423D65" w:rsidP="00423D65">
      <w:pPr>
        <w:spacing w:after="0" w:line="360" w:lineRule="auto"/>
        <w:jc w:val="both"/>
        <w:rPr>
          <w:rFonts w:ascii="Times New Roman" w:hAnsi="Times New Roman" w:cs="Times New Roman"/>
          <w:sz w:val="24"/>
          <w:szCs w:val="24"/>
        </w:rPr>
      </w:pPr>
      <w:r w:rsidRPr="00B64E68">
        <w:rPr>
          <w:rFonts w:ascii="Times New Roman" w:hAnsi="Times New Roman" w:cs="Times New Roman"/>
          <w:sz w:val="24"/>
          <w:szCs w:val="24"/>
        </w:rPr>
        <w:t>CENTAL</w:t>
      </w:r>
      <w:r w:rsidRPr="00B64E68">
        <w:rPr>
          <w:rFonts w:ascii="Times New Roman" w:hAnsi="Times New Roman" w:cs="Times New Roman"/>
          <w:sz w:val="24"/>
          <w:szCs w:val="24"/>
        </w:rPr>
        <w:tab/>
        <w:t>Center for Transparency and Accountability in Liberia</w:t>
      </w:r>
    </w:p>
    <w:p w14:paraId="0791EA5C" w14:textId="77777777" w:rsidR="00423D65" w:rsidRPr="00B64E68" w:rsidRDefault="00423D65" w:rsidP="00423D65">
      <w:pPr>
        <w:spacing w:after="0" w:line="360" w:lineRule="auto"/>
        <w:jc w:val="both"/>
        <w:rPr>
          <w:rFonts w:ascii="Times New Roman" w:hAnsi="Times New Roman" w:cs="Times New Roman"/>
          <w:sz w:val="24"/>
          <w:szCs w:val="24"/>
        </w:rPr>
      </w:pPr>
      <w:r w:rsidRPr="00B64E68">
        <w:rPr>
          <w:rFonts w:ascii="Times New Roman" w:hAnsi="Times New Roman" w:cs="Times New Roman"/>
          <w:sz w:val="24"/>
          <w:szCs w:val="24"/>
        </w:rPr>
        <w:t>COYPED</w:t>
      </w:r>
      <w:r w:rsidRPr="00B64E68">
        <w:rPr>
          <w:rFonts w:ascii="Times New Roman" w:hAnsi="Times New Roman" w:cs="Times New Roman"/>
          <w:sz w:val="24"/>
          <w:szCs w:val="24"/>
        </w:rPr>
        <w:tab/>
        <w:t>Coalition of Youth for Peace and Development</w:t>
      </w:r>
    </w:p>
    <w:p w14:paraId="03D88053"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DC</w:t>
      </w:r>
      <w:r w:rsidRPr="00B64E68">
        <w:rPr>
          <w:rFonts w:ascii="Times New Roman" w:hAnsi="Times New Roman" w:cs="Times New Roman"/>
          <w:sz w:val="24"/>
          <w:szCs w:val="24"/>
        </w:rPr>
        <w:tab/>
      </w:r>
      <w:r w:rsidRPr="00B64E68">
        <w:rPr>
          <w:rFonts w:ascii="Times New Roman" w:hAnsi="Times New Roman" w:cs="Times New Roman"/>
          <w:sz w:val="24"/>
          <w:szCs w:val="24"/>
        </w:rPr>
        <w:tab/>
        <w:t>Development Consortium</w:t>
      </w:r>
    </w:p>
    <w:p w14:paraId="23BFACC5"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EITI</w:t>
      </w:r>
      <w:r w:rsidRPr="00B64E68">
        <w:rPr>
          <w:rFonts w:ascii="Times New Roman" w:hAnsi="Times New Roman" w:cs="Times New Roman"/>
          <w:sz w:val="24"/>
          <w:szCs w:val="24"/>
        </w:rPr>
        <w:tab/>
      </w:r>
      <w:r w:rsidRPr="00B64E68">
        <w:rPr>
          <w:rFonts w:ascii="Times New Roman" w:hAnsi="Times New Roman" w:cs="Times New Roman"/>
          <w:sz w:val="24"/>
          <w:szCs w:val="24"/>
        </w:rPr>
        <w:tab/>
        <w:t>Extractive Industries Transparency Initiative</w:t>
      </w:r>
    </w:p>
    <w:p w14:paraId="0B53D963" w14:textId="77777777" w:rsidR="00423D65" w:rsidRPr="00B64E68" w:rsidRDefault="00423D65" w:rsidP="00423D65">
      <w:pPr>
        <w:spacing w:after="0" w:line="360" w:lineRule="auto"/>
        <w:jc w:val="both"/>
        <w:rPr>
          <w:rFonts w:ascii="Times New Roman" w:hAnsi="Times New Roman" w:cs="Times New Roman"/>
          <w:sz w:val="24"/>
          <w:szCs w:val="24"/>
        </w:rPr>
      </w:pPr>
      <w:r w:rsidRPr="00B64E68">
        <w:rPr>
          <w:rFonts w:ascii="Times New Roman" w:hAnsi="Times New Roman" w:cs="Times New Roman"/>
          <w:sz w:val="24"/>
          <w:szCs w:val="24"/>
        </w:rPr>
        <w:t>EMW</w:t>
      </w:r>
      <w:r w:rsidRPr="00B64E68">
        <w:rPr>
          <w:rFonts w:ascii="Times New Roman" w:hAnsi="Times New Roman" w:cs="Times New Roman"/>
          <w:sz w:val="24"/>
          <w:szCs w:val="24"/>
        </w:rPr>
        <w:tab/>
      </w:r>
      <w:r w:rsidRPr="00B64E68">
        <w:rPr>
          <w:rFonts w:ascii="Times New Roman" w:hAnsi="Times New Roman" w:cs="Times New Roman"/>
          <w:sz w:val="24"/>
          <w:szCs w:val="24"/>
        </w:rPr>
        <w:tab/>
        <w:t>Extractive Media Watch</w:t>
      </w:r>
    </w:p>
    <w:p w14:paraId="2AC759F2"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FDA</w:t>
      </w:r>
      <w:r w:rsidRPr="00B64E68">
        <w:rPr>
          <w:rFonts w:ascii="Times New Roman" w:hAnsi="Times New Roman" w:cs="Times New Roman"/>
          <w:sz w:val="24"/>
          <w:szCs w:val="24"/>
        </w:rPr>
        <w:tab/>
      </w:r>
      <w:r w:rsidRPr="00B64E68">
        <w:rPr>
          <w:rFonts w:ascii="Times New Roman" w:hAnsi="Times New Roman" w:cs="Times New Roman"/>
          <w:sz w:val="24"/>
          <w:szCs w:val="24"/>
        </w:rPr>
        <w:tab/>
        <w:t>Forestry Development Authority</w:t>
      </w:r>
    </w:p>
    <w:p w14:paraId="3CD26E7C" w14:textId="77777777" w:rsidR="00423D65" w:rsidRPr="00B64E68" w:rsidRDefault="00423D65" w:rsidP="00423D65">
      <w:pPr>
        <w:spacing w:after="0" w:line="360" w:lineRule="auto"/>
        <w:jc w:val="both"/>
        <w:rPr>
          <w:rFonts w:ascii="Times New Roman" w:hAnsi="Times New Roman" w:cs="Times New Roman"/>
          <w:sz w:val="24"/>
          <w:szCs w:val="24"/>
        </w:rPr>
      </w:pPr>
      <w:r w:rsidRPr="00B64E68">
        <w:rPr>
          <w:rFonts w:ascii="Times New Roman" w:hAnsi="Times New Roman" w:cs="Times New Roman"/>
          <w:sz w:val="24"/>
          <w:szCs w:val="24"/>
        </w:rPr>
        <w:t>FLY</w:t>
      </w:r>
      <w:r w:rsidRPr="00B64E68">
        <w:rPr>
          <w:rFonts w:ascii="Times New Roman" w:hAnsi="Times New Roman" w:cs="Times New Roman"/>
          <w:sz w:val="24"/>
          <w:szCs w:val="24"/>
        </w:rPr>
        <w:tab/>
      </w:r>
      <w:r w:rsidRPr="00B64E68">
        <w:rPr>
          <w:rFonts w:ascii="Times New Roman" w:hAnsi="Times New Roman" w:cs="Times New Roman"/>
          <w:sz w:val="24"/>
          <w:szCs w:val="24"/>
        </w:rPr>
        <w:tab/>
        <w:t>Federation of Liberian Youth</w:t>
      </w:r>
    </w:p>
    <w:p w14:paraId="6FE54F27"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FY</w:t>
      </w:r>
      <w:r w:rsidRPr="00B64E68">
        <w:rPr>
          <w:rFonts w:ascii="Times New Roman" w:hAnsi="Times New Roman" w:cs="Times New Roman"/>
          <w:sz w:val="24"/>
          <w:szCs w:val="24"/>
        </w:rPr>
        <w:tab/>
      </w:r>
      <w:r w:rsidRPr="00B64E68">
        <w:rPr>
          <w:rFonts w:ascii="Times New Roman" w:hAnsi="Times New Roman" w:cs="Times New Roman"/>
          <w:sz w:val="24"/>
          <w:szCs w:val="24"/>
        </w:rPr>
        <w:tab/>
        <w:t>Fiscal Year</w:t>
      </w:r>
    </w:p>
    <w:p w14:paraId="4B1A8FA4"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GAC</w:t>
      </w:r>
      <w:r w:rsidRPr="00B64E68">
        <w:rPr>
          <w:rFonts w:ascii="Times New Roman" w:hAnsi="Times New Roman" w:cs="Times New Roman"/>
          <w:sz w:val="24"/>
          <w:szCs w:val="24"/>
        </w:rPr>
        <w:tab/>
      </w:r>
      <w:r w:rsidRPr="00B64E68">
        <w:rPr>
          <w:rFonts w:ascii="Times New Roman" w:hAnsi="Times New Roman" w:cs="Times New Roman"/>
          <w:sz w:val="24"/>
          <w:szCs w:val="24"/>
        </w:rPr>
        <w:tab/>
        <w:t>General Auditing Commission</w:t>
      </w:r>
    </w:p>
    <w:p w14:paraId="550565D0"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GC</w:t>
      </w:r>
      <w:r w:rsidRPr="00B64E68">
        <w:rPr>
          <w:rFonts w:ascii="Times New Roman" w:hAnsi="Times New Roman" w:cs="Times New Roman"/>
          <w:sz w:val="24"/>
          <w:szCs w:val="24"/>
        </w:rPr>
        <w:tab/>
      </w:r>
      <w:r w:rsidRPr="00B64E68">
        <w:rPr>
          <w:rFonts w:ascii="Times New Roman" w:hAnsi="Times New Roman" w:cs="Times New Roman"/>
          <w:sz w:val="24"/>
          <w:szCs w:val="24"/>
        </w:rPr>
        <w:tab/>
        <w:t>Governance Commission</w:t>
      </w:r>
    </w:p>
    <w:p w14:paraId="4B1FB13B"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GDP</w:t>
      </w:r>
      <w:r w:rsidRPr="00B64E68">
        <w:rPr>
          <w:rFonts w:ascii="Times New Roman" w:hAnsi="Times New Roman" w:cs="Times New Roman"/>
          <w:sz w:val="24"/>
          <w:szCs w:val="24"/>
        </w:rPr>
        <w:tab/>
      </w:r>
      <w:r w:rsidRPr="00B64E68">
        <w:rPr>
          <w:rFonts w:ascii="Times New Roman" w:hAnsi="Times New Roman" w:cs="Times New Roman"/>
          <w:sz w:val="24"/>
          <w:szCs w:val="24"/>
        </w:rPr>
        <w:tab/>
        <w:t>Gross Domestic Product</w:t>
      </w:r>
    </w:p>
    <w:p w14:paraId="19DF0804"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GIZ</w:t>
      </w:r>
      <w:r w:rsidRPr="00B64E68">
        <w:rPr>
          <w:rFonts w:ascii="Times New Roman" w:hAnsi="Times New Roman" w:cs="Times New Roman"/>
          <w:sz w:val="24"/>
          <w:szCs w:val="24"/>
        </w:rPr>
        <w:tab/>
      </w:r>
      <w:r w:rsidRPr="00B64E68">
        <w:rPr>
          <w:rFonts w:ascii="Times New Roman" w:hAnsi="Times New Roman" w:cs="Times New Roman"/>
          <w:sz w:val="24"/>
          <w:szCs w:val="24"/>
        </w:rPr>
        <w:tab/>
      </w:r>
      <w:proofErr w:type="spellStart"/>
      <w:r w:rsidRPr="00B64E68">
        <w:rPr>
          <w:rFonts w:ascii="Times New Roman" w:hAnsi="Times New Roman" w:cs="Times New Roman"/>
          <w:sz w:val="24"/>
          <w:szCs w:val="24"/>
        </w:rPr>
        <w:t>Gesellshaft</w:t>
      </w:r>
      <w:proofErr w:type="spellEnd"/>
      <w:r w:rsidRPr="00B64E68">
        <w:rPr>
          <w:rFonts w:ascii="Times New Roman" w:hAnsi="Times New Roman" w:cs="Times New Roman"/>
          <w:sz w:val="24"/>
          <w:szCs w:val="24"/>
        </w:rPr>
        <w:t xml:space="preserve"> fur </w:t>
      </w:r>
      <w:proofErr w:type="spellStart"/>
      <w:r w:rsidRPr="00B64E68">
        <w:rPr>
          <w:rFonts w:ascii="Times New Roman" w:hAnsi="Times New Roman" w:cs="Times New Roman"/>
          <w:sz w:val="24"/>
          <w:szCs w:val="24"/>
        </w:rPr>
        <w:t>Internationale</w:t>
      </w:r>
      <w:proofErr w:type="spellEnd"/>
      <w:r w:rsidRPr="00B64E68">
        <w:rPr>
          <w:rFonts w:ascii="Times New Roman" w:hAnsi="Times New Roman" w:cs="Times New Roman"/>
          <w:sz w:val="24"/>
          <w:szCs w:val="24"/>
        </w:rPr>
        <w:t xml:space="preserve"> Zusammenarbeit (German Int’l Development Agency)</w:t>
      </w:r>
    </w:p>
    <w:p w14:paraId="1C43444B" w14:textId="77777777" w:rsidR="00423D65" w:rsidRPr="00B64E68" w:rsidRDefault="00423D65" w:rsidP="00423D65">
      <w:pPr>
        <w:jc w:val="both"/>
        <w:rPr>
          <w:rFonts w:ascii="Times New Roman" w:hAnsi="Times New Roman" w:cs="Times New Roman"/>
          <w:sz w:val="24"/>
          <w:szCs w:val="24"/>
        </w:rPr>
      </w:pPr>
      <w:proofErr w:type="spellStart"/>
      <w:r w:rsidRPr="00B64E68">
        <w:rPr>
          <w:rFonts w:ascii="Times New Roman" w:hAnsi="Times New Roman" w:cs="Times New Roman"/>
          <w:sz w:val="24"/>
          <w:szCs w:val="24"/>
        </w:rPr>
        <w:t>GoL</w:t>
      </w:r>
      <w:proofErr w:type="spellEnd"/>
      <w:r w:rsidRPr="00B64E68">
        <w:rPr>
          <w:rFonts w:ascii="Times New Roman" w:hAnsi="Times New Roman" w:cs="Times New Roman"/>
          <w:sz w:val="24"/>
          <w:szCs w:val="24"/>
        </w:rPr>
        <w:tab/>
      </w:r>
      <w:r w:rsidRPr="00B64E68">
        <w:rPr>
          <w:rFonts w:ascii="Times New Roman" w:hAnsi="Times New Roman" w:cs="Times New Roman"/>
          <w:sz w:val="24"/>
          <w:szCs w:val="24"/>
        </w:rPr>
        <w:tab/>
        <w:t>Government of Liberia</w:t>
      </w:r>
    </w:p>
    <w:p w14:paraId="5B9FA59F"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GVL</w:t>
      </w:r>
      <w:r w:rsidRPr="00B64E68">
        <w:rPr>
          <w:rFonts w:ascii="Times New Roman" w:hAnsi="Times New Roman" w:cs="Times New Roman"/>
          <w:sz w:val="24"/>
          <w:szCs w:val="24"/>
        </w:rPr>
        <w:tab/>
      </w:r>
      <w:r w:rsidRPr="00B64E68">
        <w:rPr>
          <w:rFonts w:ascii="Times New Roman" w:hAnsi="Times New Roman" w:cs="Times New Roman"/>
          <w:sz w:val="24"/>
          <w:szCs w:val="24"/>
        </w:rPr>
        <w:tab/>
        <w:t xml:space="preserve">Golden </w:t>
      </w:r>
      <w:proofErr w:type="spellStart"/>
      <w:r w:rsidRPr="00B64E68">
        <w:rPr>
          <w:rFonts w:ascii="Times New Roman" w:hAnsi="Times New Roman" w:cs="Times New Roman"/>
          <w:sz w:val="24"/>
          <w:szCs w:val="24"/>
        </w:rPr>
        <w:t>Veroleum</w:t>
      </w:r>
      <w:proofErr w:type="spellEnd"/>
      <w:r w:rsidRPr="00B64E68">
        <w:rPr>
          <w:rFonts w:ascii="Times New Roman" w:hAnsi="Times New Roman" w:cs="Times New Roman"/>
          <w:sz w:val="24"/>
          <w:szCs w:val="24"/>
        </w:rPr>
        <w:t xml:space="preserve"> Liberia</w:t>
      </w:r>
    </w:p>
    <w:p w14:paraId="16A19D54"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GODIMWUL</w:t>
      </w:r>
      <w:r w:rsidRPr="00B64E68">
        <w:rPr>
          <w:rFonts w:ascii="Times New Roman" w:hAnsi="Times New Roman" w:cs="Times New Roman"/>
          <w:sz w:val="24"/>
          <w:szCs w:val="24"/>
        </w:rPr>
        <w:tab/>
        <w:t>Gold and Diamond Workers Union of Liberia</w:t>
      </w:r>
    </w:p>
    <w:p w14:paraId="511D6DD1" w14:textId="77777777" w:rsidR="00423D65" w:rsidRPr="00B64E68" w:rsidRDefault="00423D65" w:rsidP="00423D65">
      <w:pPr>
        <w:spacing w:after="0" w:line="360" w:lineRule="auto"/>
        <w:jc w:val="both"/>
        <w:rPr>
          <w:rFonts w:ascii="Times New Roman" w:hAnsi="Times New Roman" w:cs="Times New Roman"/>
          <w:sz w:val="24"/>
          <w:szCs w:val="24"/>
        </w:rPr>
      </w:pPr>
      <w:r w:rsidRPr="00B64E68">
        <w:rPr>
          <w:rFonts w:ascii="Times New Roman" w:hAnsi="Times New Roman" w:cs="Times New Roman"/>
          <w:sz w:val="24"/>
          <w:szCs w:val="24"/>
        </w:rPr>
        <w:t>GYACN</w:t>
      </w:r>
      <w:r w:rsidRPr="00B64E68">
        <w:rPr>
          <w:rFonts w:ascii="Times New Roman" w:hAnsi="Times New Roman" w:cs="Times New Roman"/>
          <w:sz w:val="24"/>
          <w:szCs w:val="24"/>
        </w:rPr>
        <w:tab/>
      </w:r>
      <w:r w:rsidRPr="00B64E68">
        <w:rPr>
          <w:rFonts w:ascii="Times New Roman" w:hAnsi="Times New Roman" w:cs="Times New Roman"/>
          <w:sz w:val="24"/>
          <w:szCs w:val="24"/>
        </w:rPr>
        <w:tab/>
        <w:t>Global Youth Anti-Corruption Network</w:t>
      </w:r>
    </w:p>
    <w:p w14:paraId="710ABDA5"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HOR</w:t>
      </w:r>
      <w:r w:rsidRPr="00B64E68">
        <w:rPr>
          <w:rFonts w:ascii="Times New Roman" w:hAnsi="Times New Roman" w:cs="Times New Roman"/>
          <w:sz w:val="24"/>
          <w:szCs w:val="24"/>
        </w:rPr>
        <w:tab/>
      </w:r>
      <w:r w:rsidRPr="00B64E68">
        <w:rPr>
          <w:rFonts w:ascii="Times New Roman" w:hAnsi="Times New Roman" w:cs="Times New Roman"/>
          <w:sz w:val="24"/>
          <w:szCs w:val="24"/>
        </w:rPr>
        <w:tab/>
        <w:t>House of Representatives</w:t>
      </w:r>
    </w:p>
    <w:p w14:paraId="441A5129"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lastRenderedPageBreak/>
        <w:t>LACC</w:t>
      </w:r>
      <w:r w:rsidRPr="00B64E68">
        <w:rPr>
          <w:rFonts w:ascii="Times New Roman" w:hAnsi="Times New Roman" w:cs="Times New Roman"/>
          <w:sz w:val="24"/>
          <w:szCs w:val="24"/>
        </w:rPr>
        <w:tab/>
      </w:r>
      <w:r w:rsidRPr="00B64E68">
        <w:rPr>
          <w:rFonts w:ascii="Times New Roman" w:hAnsi="Times New Roman" w:cs="Times New Roman"/>
          <w:sz w:val="24"/>
          <w:szCs w:val="24"/>
        </w:rPr>
        <w:tab/>
        <w:t>Liberia Anti-Corruption Commission</w:t>
      </w:r>
    </w:p>
    <w:p w14:paraId="40A8733A"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LBR</w:t>
      </w:r>
      <w:r w:rsidRPr="00B64E68">
        <w:rPr>
          <w:rFonts w:ascii="Times New Roman" w:hAnsi="Times New Roman" w:cs="Times New Roman"/>
          <w:sz w:val="24"/>
          <w:szCs w:val="24"/>
        </w:rPr>
        <w:tab/>
      </w:r>
      <w:r w:rsidRPr="00B64E68">
        <w:rPr>
          <w:rFonts w:ascii="Times New Roman" w:hAnsi="Times New Roman" w:cs="Times New Roman"/>
          <w:sz w:val="24"/>
          <w:szCs w:val="24"/>
        </w:rPr>
        <w:tab/>
        <w:t>Liberia Business Registry</w:t>
      </w:r>
    </w:p>
    <w:p w14:paraId="1959500A"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LEITI</w:t>
      </w:r>
      <w:r w:rsidRPr="00B64E68">
        <w:rPr>
          <w:rFonts w:ascii="Times New Roman" w:hAnsi="Times New Roman" w:cs="Times New Roman"/>
          <w:sz w:val="24"/>
          <w:szCs w:val="24"/>
        </w:rPr>
        <w:tab/>
      </w:r>
      <w:r w:rsidRPr="00B64E68">
        <w:rPr>
          <w:rFonts w:ascii="Times New Roman" w:hAnsi="Times New Roman" w:cs="Times New Roman"/>
          <w:sz w:val="24"/>
          <w:szCs w:val="24"/>
        </w:rPr>
        <w:tab/>
        <w:t>Liberia Extractive Industries Transparency Initiative</w:t>
      </w:r>
    </w:p>
    <w:p w14:paraId="12604C8D"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LMC</w:t>
      </w:r>
      <w:r w:rsidRPr="00B64E68">
        <w:rPr>
          <w:rFonts w:ascii="Times New Roman" w:hAnsi="Times New Roman" w:cs="Times New Roman"/>
          <w:sz w:val="24"/>
          <w:szCs w:val="24"/>
        </w:rPr>
        <w:tab/>
      </w:r>
      <w:r w:rsidRPr="00B64E68">
        <w:rPr>
          <w:rFonts w:ascii="Times New Roman" w:hAnsi="Times New Roman" w:cs="Times New Roman"/>
          <w:sz w:val="24"/>
          <w:szCs w:val="24"/>
        </w:rPr>
        <w:tab/>
        <w:t>Liberia Media Center</w:t>
      </w:r>
    </w:p>
    <w:p w14:paraId="13658A8D"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LRA</w:t>
      </w:r>
      <w:r w:rsidRPr="00B64E68">
        <w:rPr>
          <w:rFonts w:ascii="Times New Roman" w:hAnsi="Times New Roman" w:cs="Times New Roman"/>
          <w:sz w:val="24"/>
          <w:szCs w:val="24"/>
        </w:rPr>
        <w:tab/>
      </w:r>
      <w:r w:rsidRPr="00B64E68">
        <w:rPr>
          <w:rFonts w:ascii="Times New Roman" w:hAnsi="Times New Roman" w:cs="Times New Roman"/>
          <w:sz w:val="24"/>
          <w:szCs w:val="24"/>
        </w:rPr>
        <w:tab/>
        <w:t>Liberia Revenue Authority</w:t>
      </w:r>
    </w:p>
    <w:p w14:paraId="39810815"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LTA</w:t>
      </w:r>
      <w:r w:rsidRPr="00B64E68">
        <w:rPr>
          <w:rFonts w:ascii="Times New Roman" w:hAnsi="Times New Roman" w:cs="Times New Roman"/>
          <w:sz w:val="24"/>
          <w:szCs w:val="24"/>
        </w:rPr>
        <w:tab/>
      </w:r>
      <w:r w:rsidRPr="00B64E68">
        <w:rPr>
          <w:rFonts w:ascii="Times New Roman" w:hAnsi="Times New Roman" w:cs="Times New Roman"/>
          <w:sz w:val="24"/>
          <w:szCs w:val="24"/>
        </w:rPr>
        <w:tab/>
        <w:t>Liberia Timber Association</w:t>
      </w:r>
    </w:p>
    <w:p w14:paraId="261FE4B3"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MDAs</w:t>
      </w:r>
      <w:r w:rsidRPr="00B64E68">
        <w:rPr>
          <w:rFonts w:ascii="Times New Roman" w:hAnsi="Times New Roman" w:cs="Times New Roman"/>
          <w:sz w:val="24"/>
          <w:szCs w:val="24"/>
        </w:rPr>
        <w:tab/>
      </w:r>
      <w:r w:rsidRPr="00B64E68">
        <w:rPr>
          <w:rFonts w:ascii="Times New Roman" w:hAnsi="Times New Roman" w:cs="Times New Roman"/>
          <w:sz w:val="24"/>
          <w:szCs w:val="24"/>
        </w:rPr>
        <w:tab/>
        <w:t>Mineral Development Agreements</w:t>
      </w:r>
    </w:p>
    <w:p w14:paraId="30955D0D"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MFDP</w:t>
      </w:r>
      <w:r w:rsidRPr="00B64E68">
        <w:rPr>
          <w:rFonts w:ascii="Times New Roman" w:hAnsi="Times New Roman" w:cs="Times New Roman"/>
          <w:sz w:val="24"/>
          <w:szCs w:val="24"/>
        </w:rPr>
        <w:tab/>
      </w:r>
      <w:r w:rsidRPr="00B64E68">
        <w:rPr>
          <w:rFonts w:ascii="Times New Roman" w:hAnsi="Times New Roman" w:cs="Times New Roman"/>
          <w:sz w:val="24"/>
          <w:szCs w:val="24"/>
        </w:rPr>
        <w:tab/>
        <w:t>Ministry of Finance and Development Planning</w:t>
      </w:r>
      <w:r w:rsidRPr="00B64E68">
        <w:rPr>
          <w:rFonts w:ascii="Times New Roman" w:hAnsi="Times New Roman" w:cs="Times New Roman"/>
          <w:sz w:val="24"/>
          <w:szCs w:val="24"/>
        </w:rPr>
        <w:tab/>
      </w:r>
      <w:r w:rsidRPr="00B64E68">
        <w:rPr>
          <w:rFonts w:ascii="Times New Roman" w:hAnsi="Times New Roman" w:cs="Times New Roman"/>
          <w:sz w:val="24"/>
          <w:szCs w:val="24"/>
        </w:rPr>
        <w:tab/>
      </w:r>
    </w:p>
    <w:p w14:paraId="6D1F9423"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MOJ</w:t>
      </w:r>
      <w:r w:rsidRPr="00B64E68">
        <w:rPr>
          <w:rFonts w:ascii="Times New Roman" w:hAnsi="Times New Roman" w:cs="Times New Roman"/>
          <w:sz w:val="24"/>
          <w:szCs w:val="24"/>
        </w:rPr>
        <w:tab/>
      </w:r>
      <w:r w:rsidRPr="00B64E68">
        <w:rPr>
          <w:rFonts w:ascii="Times New Roman" w:hAnsi="Times New Roman" w:cs="Times New Roman"/>
          <w:sz w:val="24"/>
          <w:szCs w:val="24"/>
        </w:rPr>
        <w:tab/>
        <w:t>Ministry of Justice</w:t>
      </w:r>
    </w:p>
    <w:p w14:paraId="6F82E970"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MSG</w:t>
      </w:r>
      <w:r w:rsidRPr="00B64E68">
        <w:rPr>
          <w:rFonts w:ascii="Times New Roman" w:hAnsi="Times New Roman" w:cs="Times New Roman"/>
          <w:sz w:val="24"/>
          <w:szCs w:val="24"/>
        </w:rPr>
        <w:tab/>
      </w:r>
      <w:r w:rsidRPr="00B64E68">
        <w:rPr>
          <w:rFonts w:ascii="Times New Roman" w:hAnsi="Times New Roman" w:cs="Times New Roman"/>
          <w:sz w:val="24"/>
          <w:szCs w:val="24"/>
        </w:rPr>
        <w:tab/>
        <w:t>Multi-stakeholders Steering Group</w:t>
      </w:r>
    </w:p>
    <w:p w14:paraId="0C426F18"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MIA</w:t>
      </w:r>
      <w:r w:rsidRPr="00B64E68">
        <w:rPr>
          <w:rFonts w:ascii="Times New Roman" w:hAnsi="Times New Roman" w:cs="Times New Roman"/>
          <w:sz w:val="24"/>
          <w:szCs w:val="24"/>
        </w:rPr>
        <w:tab/>
      </w:r>
      <w:r w:rsidRPr="00B64E68">
        <w:rPr>
          <w:rFonts w:ascii="Times New Roman" w:hAnsi="Times New Roman" w:cs="Times New Roman"/>
          <w:sz w:val="24"/>
          <w:szCs w:val="24"/>
        </w:rPr>
        <w:tab/>
        <w:t>Ministry of Internal Affairs</w:t>
      </w:r>
    </w:p>
    <w:p w14:paraId="6BAC9381"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MLME</w:t>
      </w:r>
      <w:r w:rsidRPr="00B64E68">
        <w:rPr>
          <w:rFonts w:ascii="Times New Roman" w:hAnsi="Times New Roman" w:cs="Times New Roman"/>
          <w:sz w:val="24"/>
          <w:szCs w:val="24"/>
        </w:rPr>
        <w:tab/>
      </w:r>
      <w:r w:rsidRPr="00B64E68">
        <w:rPr>
          <w:rFonts w:ascii="Times New Roman" w:hAnsi="Times New Roman" w:cs="Times New Roman"/>
          <w:sz w:val="24"/>
          <w:szCs w:val="24"/>
        </w:rPr>
        <w:tab/>
        <w:t>Ministry of Lands, Mines and Energy</w:t>
      </w:r>
    </w:p>
    <w:p w14:paraId="56A3A702" w14:textId="77777777" w:rsidR="00423D65" w:rsidRPr="00B64E68" w:rsidRDefault="00423D65" w:rsidP="00423D65">
      <w:pPr>
        <w:jc w:val="both"/>
        <w:rPr>
          <w:rFonts w:ascii="Times New Roman" w:hAnsi="Times New Roman" w:cs="Times New Roman"/>
          <w:sz w:val="24"/>
          <w:szCs w:val="24"/>
        </w:rPr>
      </w:pPr>
      <w:proofErr w:type="spellStart"/>
      <w:r w:rsidRPr="00B64E68">
        <w:rPr>
          <w:rFonts w:ascii="Times New Roman" w:hAnsi="Times New Roman" w:cs="Times New Roman"/>
          <w:sz w:val="24"/>
          <w:szCs w:val="24"/>
        </w:rPr>
        <w:t>MoA</w:t>
      </w:r>
      <w:proofErr w:type="spellEnd"/>
      <w:r w:rsidRPr="00B64E68">
        <w:rPr>
          <w:rFonts w:ascii="Times New Roman" w:hAnsi="Times New Roman" w:cs="Times New Roman"/>
          <w:sz w:val="24"/>
          <w:szCs w:val="24"/>
        </w:rPr>
        <w:tab/>
      </w:r>
      <w:r w:rsidRPr="00B64E68">
        <w:rPr>
          <w:rFonts w:ascii="Times New Roman" w:hAnsi="Times New Roman" w:cs="Times New Roman"/>
          <w:sz w:val="24"/>
          <w:szCs w:val="24"/>
        </w:rPr>
        <w:tab/>
        <w:t>Ministry of Agriculture</w:t>
      </w:r>
    </w:p>
    <w:p w14:paraId="5F4AEE56"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NBC</w:t>
      </w:r>
      <w:r w:rsidRPr="00B64E68">
        <w:rPr>
          <w:rFonts w:ascii="Times New Roman" w:hAnsi="Times New Roman" w:cs="Times New Roman"/>
          <w:sz w:val="24"/>
          <w:szCs w:val="24"/>
        </w:rPr>
        <w:tab/>
      </w:r>
      <w:r w:rsidRPr="00B64E68">
        <w:rPr>
          <w:rFonts w:ascii="Times New Roman" w:hAnsi="Times New Roman" w:cs="Times New Roman"/>
          <w:sz w:val="24"/>
          <w:szCs w:val="24"/>
        </w:rPr>
        <w:tab/>
        <w:t>National Bureau of Concessions</w:t>
      </w:r>
    </w:p>
    <w:p w14:paraId="58A647AF"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NCB</w:t>
      </w:r>
      <w:r w:rsidRPr="00B64E68">
        <w:rPr>
          <w:rFonts w:ascii="Times New Roman" w:hAnsi="Times New Roman" w:cs="Times New Roman"/>
          <w:sz w:val="24"/>
          <w:szCs w:val="24"/>
        </w:rPr>
        <w:tab/>
      </w:r>
      <w:r w:rsidRPr="00B64E68">
        <w:rPr>
          <w:rFonts w:ascii="Times New Roman" w:hAnsi="Times New Roman" w:cs="Times New Roman"/>
          <w:sz w:val="24"/>
          <w:szCs w:val="24"/>
        </w:rPr>
        <w:tab/>
        <w:t>National Competitive Bidding</w:t>
      </w:r>
    </w:p>
    <w:p w14:paraId="7E18FABC"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NCSCL</w:t>
      </w:r>
      <w:r w:rsidRPr="00B64E68">
        <w:rPr>
          <w:rFonts w:ascii="Times New Roman" w:hAnsi="Times New Roman" w:cs="Times New Roman"/>
          <w:sz w:val="24"/>
          <w:szCs w:val="24"/>
        </w:rPr>
        <w:tab/>
      </w:r>
      <w:r w:rsidRPr="00B64E68">
        <w:rPr>
          <w:rFonts w:ascii="Times New Roman" w:hAnsi="Times New Roman" w:cs="Times New Roman"/>
          <w:sz w:val="24"/>
          <w:szCs w:val="24"/>
        </w:rPr>
        <w:tab/>
        <w:t>National Civil Society Council of Liberia</w:t>
      </w:r>
    </w:p>
    <w:p w14:paraId="1F57E94C"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NOCAL</w:t>
      </w:r>
      <w:r w:rsidRPr="00B64E68">
        <w:rPr>
          <w:rFonts w:ascii="Times New Roman" w:hAnsi="Times New Roman" w:cs="Times New Roman"/>
          <w:sz w:val="24"/>
          <w:szCs w:val="24"/>
        </w:rPr>
        <w:tab/>
        <w:t>National Oil Company of Liberia</w:t>
      </w:r>
    </w:p>
    <w:p w14:paraId="0A9DCAC6" w14:textId="77777777" w:rsidR="00423D65" w:rsidRPr="00B64E68" w:rsidRDefault="00423D65" w:rsidP="00423D65">
      <w:pPr>
        <w:spacing w:after="0" w:line="360" w:lineRule="auto"/>
        <w:jc w:val="both"/>
        <w:rPr>
          <w:rFonts w:ascii="Times New Roman" w:hAnsi="Times New Roman" w:cs="Times New Roman"/>
          <w:sz w:val="24"/>
          <w:szCs w:val="24"/>
        </w:rPr>
      </w:pPr>
      <w:r w:rsidRPr="00B64E68">
        <w:rPr>
          <w:rFonts w:ascii="Times New Roman" w:hAnsi="Times New Roman" w:cs="Times New Roman"/>
          <w:sz w:val="24"/>
          <w:szCs w:val="24"/>
        </w:rPr>
        <w:t>NTCL</w:t>
      </w:r>
      <w:r w:rsidRPr="00B64E68">
        <w:rPr>
          <w:rFonts w:ascii="Times New Roman" w:hAnsi="Times New Roman" w:cs="Times New Roman"/>
          <w:sz w:val="24"/>
          <w:szCs w:val="24"/>
        </w:rPr>
        <w:tab/>
      </w:r>
      <w:r w:rsidRPr="00B64E68">
        <w:rPr>
          <w:rFonts w:ascii="Times New Roman" w:hAnsi="Times New Roman" w:cs="Times New Roman"/>
          <w:sz w:val="24"/>
          <w:szCs w:val="24"/>
        </w:rPr>
        <w:tab/>
        <w:t>National Traditional Council of Liberia</w:t>
      </w:r>
    </w:p>
    <w:p w14:paraId="6278D050"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ODI</w:t>
      </w:r>
      <w:r w:rsidRPr="00B64E68">
        <w:rPr>
          <w:rFonts w:ascii="Times New Roman" w:hAnsi="Times New Roman" w:cs="Times New Roman"/>
          <w:sz w:val="24"/>
          <w:szCs w:val="24"/>
        </w:rPr>
        <w:tab/>
      </w:r>
      <w:r w:rsidRPr="00B64E68">
        <w:rPr>
          <w:rFonts w:ascii="Times New Roman" w:hAnsi="Times New Roman" w:cs="Times New Roman"/>
          <w:sz w:val="24"/>
          <w:szCs w:val="24"/>
        </w:rPr>
        <w:tab/>
        <w:t>Overseas Development Initiative</w:t>
      </w:r>
    </w:p>
    <w:p w14:paraId="4FDC8AB7"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PFM</w:t>
      </w:r>
      <w:r w:rsidRPr="00B64E68">
        <w:rPr>
          <w:rFonts w:ascii="Times New Roman" w:hAnsi="Times New Roman" w:cs="Times New Roman"/>
          <w:sz w:val="24"/>
          <w:szCs w:val="24"/>
        </w:rPr>
        <w:tab/>
      </w:r>
      <w:r w:rsidRPr="00B64E68">
        <w:rPr>
          <w:rFonts w:ascii="Times New Roman" w:hAnsi="Times New Roman" w:cs="Times New Roman"/>
          <w:sz w:val="24"/>
          <w:szCs w:val="24"/>
        </w:rPr>
        <w:tab/>
        <w:t>Public Financial Management</w:t>
      </w:r>
    </w:p>
    <w:p w14:paraId="5AC27FC5"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PPCC</w:t>
      </w:r>
      <w:r w:rsidRPr="00B64E68">
        <w:rPr>
          <w:rFonts w:ascii="Times New Roman" w:hAnsi="Times New Roman" w:cs="Times New Roman"/>
          <w:sz w:val="24"/>
          <w:szCs w:val="24"/>
        </w:rPr>
        <w:tab/>
      </w:r>
      <w:r w:rsidRPr="00B64E68">
        <w:rPr>
          <w:rFonts w:ascii="Times New Roman" w:hAnsi="Times New Roman" w:cs="Times New Roman"/>
          <w:sz w:val="24"/>
          <w:szCs w:val="24"/>
        </w:rPr>
        <w:tab/>
        <w:t>Public Procurement and Concession Commission</w:t>
      </w:r>
    </w:p>
    <w:p w14:paraId="72AC9AFB"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PWYP</w:t>
      </w:r>
      <w:r w:rsidRPr="00B64E68">
        <w:rPr>
          <w:rFonts w:ascii="Times New Roman" w:hAnsi="Times New Roman" w:cs="Times New Roman"/>
          <w:sz w:val="24"/>
          <w:szCs w:val="24"/>
        </w:rPr>
        <w:tab/>
      </w:r>
      <w:r w:rsidRPr="00B64E68">
        <w:rPr>
          <w:rFonts w:ascii="Times New Roman" w:hAnsi="Times New Roman" w:cs="Times New Roman"/>
          <w:sz w:val="24"/>
          <w:szCs w:val="24"/>
        </w:rPr>
        <w:tab/>
        <w:t>Publish What You Pay Coalition</w:t>
      </w:r>
    </w:p>
    <w:p w14:paraId="62C27708"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REOI</w:t>
      </w:r>
      <w:r w:rsidRPr="00B64E68">
        <w:rPr>
          <w:rFonts w:ascii="Times New Roman" w:hAnsi="Times New Roman" w:cs="Times New Roman"/>
          <w:sz w:val="24"/>
          <w:szCs w:val="24"/>
        </w:rPr>
        <w:tab/>
      </w:r>
      <w:r w:rsidRPr="00B64E68">
        <w:rPr>
          <w:rFonts w:ascii="Times New Roman" w:hAnsi="Times New Roman" w:cs="Times New Roman"/>
          <w:sz w:val="24"/>
          <w:szCs w:val="24"/>
        </w:rPr>
        <w:tab/>
        <w:t>Request for Expression of Interest</w:t>
      </w:r>
    </w:p>
    <w:p w14:paraId="595D64D1"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RFQ</w:t>
      </w:r>
      <w:r w:rsidRPr="00B64E68">
        <w:rPr>
          <w:rFonts w:ascii="Times New Roman" w:hAnsi="Times New Roman" w:cs="Times New Roman"/>
          <w:sz w:val="24"/>
          <w:szCs w:val="24"/>
        </w:rPr>
        <w:tab/>
      </w:r>
      <w:r w:rsidRPr="00B64E68">
        <w:rPr>
          <w:rFonts w:ascii="Times New Roman" w:hAnsi="Times New Roman" w:cs="Times New Roman"/>
          <w:sz w:val="24"/>
          <w:szCs w:val="24"/>
        </w:rPr>
        <w:tab/>
        <w:t>Request for Quotation</w:t>
      </w:r>
      <w:r w:rsidRPr="00B64E68">
        <w:rPr>
          <w:rFonts w:ascii="Times New Roman" w:hAnsi="Times New Roman" w:cs="Times New Roman"/>
          <w:sz w:val="24"/>
          <w:szCs w:val="24"/>
        </w:rPr>
        <w:tab/>
      </w:r>
      <w:r w:rsidRPr="00B64E68">
        <w:rPr>
          <w:rFonts w:ascii="Times New Roman" w:hAnsi="Times New Roman" w:cs="Times New Roman"/>
          <w:sz w:val="24"/>
          <w:szCs w:val="24"/>
        </w:rPr>
        <w:tab/>
      </w:r>
    </w:p>
    <w:p w14:paraId="6EF189E1"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SDF</w:t>
      </w:r>
      <w:r w:rsidRPr="00B64E68">
        <w:rPr>
          <w:rFonts w:ascii="Times New Roman" w:hAnsi="Times New Roman" w:cs="Times New Roman"/>
          <w:sz w:val="24"/>
          <w:szCs w:val="24"/>
        </w:rPr>
        <w:tab/>
      </w:r>
      <w:r w:rsidRPr="00B64E68">
        <w:rPr>
          <w:rFonts w:ascii="Times New Roman" w:hAnsi="Times New Roman" w:cs="Times New Roman"/>
          <w:sz w:val="24"/>
          <w:szCs w:val="24"/>
        </w:rPr>
        <w:tab/>
        <w:t>Social Development Fund</w:t>
      </w:r>
    </w:p>
    <w:p w14:paraId="4343626B"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lastRenderedPageBreak/>
        <w:t>STOAP</w:t>
      </w:r>
      <w:r w:rsidRPr="00B64E68">
        <w:rPr>
          <w:rFonts w:ascii="Times New Roman" w:hAnsi="Times New Roman" w:cs="Times New Roman"/>
          <w:sz w:val="24"/>
          <w:szCs w:val="24"/>
        </w:rPr>
        <w:tab/>
      </w:r>
      <w:r w:rsidRPr="00B64E68">
        <w:rPr>
          <w:rFonts w:ascii="Times New Roman" w:hAnsi="Times New Roman" w:cs="Times New Roman"/>
          <w:sz w:val="24"/>
          <w:szCs w:val="24"/>
        </w:rPr>
        <w:tab/>
        <w:t>Strengthen Transparency, Oversight and Accountability Project</w:t>
      </w:r>
    </w:p>
    <w:p w14:paraId="0B236915"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TOR</w:t>
      </w:r>
      <w:r w:rsidRPr="00B64E68">
        <w:rPr>
          <w:rFonts w:ascii="Times New Roman" w:hAnsi="Times New Roman" w:cs="Times New Roman"/>
          <w:sz w:val="24"/>
          <w:szCs w:val="24"/>
        </w:rPr>
        <w:tab/>
      </w:r>
      <w:r w:rsidRPr="00B64E68">
        <w:rPr>
          <w:rFonts w:ascii="Times New Roman" w:hAnsi="Times New Roman" w:cs="Times New Roman"/>
          <w:sz w:val="24"/>
          <w:szCs w:val="24"/>
        </w:rPr>
        <w:tab/>
        <w:t>Terms of Reference</w:t>
      </w:r>
    </w:p>
    <w:p w14:paraId="688305AC"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UNMIL</w:t>
      </w:r>
      <w:r w:rsidRPr="00B64E68">
        <w:rPr>
          <w:rFonts w:ascii="Times New Roman" w:hAnsi="Times New Roman" w:cs="Times New Roman"/>
          <w:sz w:val="24"/>
          <w:szCs w:val="24"/>
        </w:rPr>
        <w:tab/>
        <w:t>United Nations Missions in Liberia</w:t>
      </w:r>
    </w:p>
    <w:p w14:paraId="057D766C"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USAID</w:t>
      </w:r>
      <w:r w:rsidRPr="00B64E68">
        <w:rPr>
          <w:rFonts w:ascii="Times New Roman" w:hAnsi="Times New Roman" w:cs="Times New Roman"/>
          <w:sz w:val="24"/>
          <w:szCs w:val="24"/>
        </w:rPr>
        <w:tab/>
      </w:r>
      <w:r w:rsidRPr="00B64E68">
        <w:rPr>
          <w:rFonts w:ascii="Times New Roman" w:hAnsi="Times New Roman" w:cs="Times New Roman"/>
          <w:sz w:val="24"/>
          <w:szCs w:val="24"/>
        </w:rPr>
        <w:tab/>
        <w:t>United States Agency for International Development</w:t>
      </w:r>
    </w:p>
    <w:p w14:paraId="3934C608"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WONGOSOL</w:t>
      </w:r>
      <w:r w:rsidRPr="00B64E68">
        <w:rPr>
          <w:rFonts w:ascii="Times New Roman" w:hAnsi="Times New Roman" w:cs="Times New Roman"/>
          <w:sz w:val="24"/>
          <w:szCs w:val="24"/>
        </w:rPr>
        <w:tab/>
        <w:t>Women NGO Secretariat of Liberia</w:t>
      </w:r>
    </w:p>
    <w:p w14:paraId="389DEE9C" w14:textId="77777777" w:rsidR="00423D65" w:rsidRPr="00B64E68" w:rsidRDefault="00423D65" w:rsidP="00423D65">
      <w:pPr>
        <w:jc w:val="both"/>
        <w:rPr>
          <w:rFonts w:ascii="Times New Roman" w:hAnsi="Times New Roman" w:cs="Times New Roman"/>
          <w:sz w:val="24"/>
          <w:szCs w:val="24"/>
        </w:rPr>
      </w:pPr>
    </w:p>
    <w:p w14:paraId="1DD79803" w14:textId="77777777" w:rsidR="00423D65" w:rsidRPr="00B64E68" w:rsidRDefault="00423D65" w:rsidP="00222665">
      <w:pPr>
        <w:pStyle w:val="Heading1"/>
      </w:pPr>
      <w:bookmarkStart w:id="2" w:name="_Toc217895908"/>
      <w:r w:rsidRPr="00B64E68">
        <w:t>Background/Introduction</w:t>
      </w:r>
      <w:bookmarkEnd w:id="2"/>
    </w:p>
    <w:p w14:paraId="72EF6D8C" w14:textId="77777777" w:rsidR="00423D65" w:rsidRPr="00B64E68" w:rsidRDefault="00423D65" w:rsidP="00423D65">
      <w:pPr>
        <w:spacing w:after="0" w:line="240" w:lineRule="auto"/>
        <w:jc w:val="both"/>
        <w:rPr>
          <w:rFonts w:ascii="Times New Roman" w:hAnsi="Times New Roman" w:cs="Times New Roman"/>
          <w:i/>
          <w:color w:val="FF0000"/>
          <w:sz w:val="24"/>
          <w:szCs w:val="24"/>
        </w:rPr>
      </w:pPr>
    </w:p>
    <w:p w14:paraId="664A987B" w14:textId="77777777" w:rsidR="00423D65" w:rsidRPr="00B64E68" w:rsidRDefault="00423D65" w:rsidP="00423D65">
      <w:pPr>
        <w:jc w:val="both"/>
        <w:rPr>
          <w:rFonts w:ascii="Times New Roman" w:eastAsia="Palatino Linotype" w:hAnsi="Times New Roman" w:cs="Times New Roman"/>
          <w:sz w:val="24"/>
          <w:szCs w:val="24"/>
          <w:lang w:val="en-LR"/>
        </w:rPr>
      </w:pPr>
      <w:r w:rsidRPr="00B64E68">
        <w:rPr>
          <w:rFonts w:ascii="Times New Roman" w:eastAsia="Palatino Linotype" w:hAnsi="Times New Roman" w:cs="Times New Roman"/>
          <w:sz w:val="24"/>
          <w:szCs w:val="24"/>
          <w:lang w:val="en-LR"/>
        </w:rPr>
        <w:t xml:space="preserve">Since </w:t>
      </w:r>
      <w:r>
        <w:rPr>
          <w:rFonts w:ascii="Times New Roman" w:eastAsia="Palatino Linotype" w:hAnsi="Times New Roman" w:cs="Times New Roman"/>
          <w:sz w:val="24"/>
          <w:szCs w:val="24"/>
          <w:lang w:val="en-LR"/>
        </w:rPr>
        <w:t>joining</w:t>
      </w:r>
      <w:r w:rsidRPr="00B64E68">
        <w:rPr>
          <w:rFonts w:ascii="Times New Roman" w:eastAsia="Palatino Linotype" w:hAnsi="Times New Roman" w:cs="Times New Roman"/>
          <w:sz w:val="24"/>
          <w:szCs w:val="24"/>
          <w:lang w:val="en-LR"/>
        </w:rPr>
        <w:t xml:space="preserve"> the Extractive Industries Transparency Initiative (EITI) in 2007 and becoming the first African nation to achieve compliance in 2009, Liberia has remained a global leader in promoting transparency and accountability in natural resource governance. The Liberia Extractive Industries Transparency Initiative (LEITI), established by an Act of Legislature in 2009, brings together government, civil society, and </w:t>
      </w:r>
      <w:r>
        <w:rPr>
          <w:rFonts w:ascii="Times New Roman" w:eastAsia="Palatino Linotype" w:hAnsi="Times New Roman" w:cs="Times New Roman"/>
          <w:sz w:val="24"/>
          <w:szCs w:val="24"/>
          <w:lang w:val="en-LR"/>
        </w:rPr>
        <w:t xml:space="preserve">private-sector stakeholders to ensure the </w:t>
      </w:r>
      <w:r w:rsidRPr="00B64E68">
        <w:rPr>
          <w:rFonts w:ascii="Times New Roman" w:eastAsia="Palatino Linotype" w:hAnsi="Times New Roman" w:cs="Times New Roman"/>
          <w:sz w:val="24"/>
          <w:szCs w:val="24"/>
          <w:lang w:val="en-LR"/>
        </w:rPr>
        <w:t>responsible management of revenues from extractive resources, including mining, oil, gas, forestry, and agriculture.</w:t>
      </w:r>
    </w:p>
    <w:p w14:paraId="56C89401" w14:textId="77777777" w:rsidR="00423D65" w:rsidRPr="00B64E68" w:rsidRDefault="00423D65" w:rsidP="00423D65">
      <w:pPr>
        <w:jc w:val="both"/>
        <w:rPr>
          <w:rFonts w:ascii="Times New Roman" w:eastAsia="Palatino Linotype" w:hAnsi="Times New Roman" w:cs="Times New Roman"/>
          <w:sz w:val="24"/>
          <w:szCs w:val="24"/>
          <w:lang w:val="en-LR"/>
        </w:rPr>
      </w:pPr>
      <w:r w:rsidRPr="00B64E68">
        <w:rPr>
          <w:rFonts w:ascii="Times New Roman" w:eastAsia="Palatino Linotype" w:hAnsi="Times New Roman" w:cs="Times New Roman"/>
          <w:sz w:val="24"/>
          <w:szCs w:val="24"/>
          <w:lang w:val="en-LR"/>
        </w:rPr>
        <w:t>With 1</w:t>
      </w:r>
      <w:r>
        <w:rPr>
          <w:rFonts w:ascii="Times New Roman" w:eastAsia="Palatino Linotype" w:hAnsi="Times New Roman" w:cs="Times New Roman"/>
          <w:sz w:val="24"/>
          <w:szCs w:val="24"/>
          <w:lang w:val="en-LR"/>
        </w:rPr>
        <w:t xml:space="preserve">6 </w:t>
      </w:r>
      <w:r w:rsidRPr="00B64E68">
        <w:rPr>
          <w:rFonts w:ascii="Times New Roman" w:eastAsia="Palatino Linotype" w:hAnsi="Times New Roman" w:cs="Times New Roman"/>
          <w:sz w:val="24"/>
          <w:szCs w:val="24"/>
          <w:lang w:val="en-LR"/>
        </w:rPr>
        <w:t xml:space="preserve">EITI Reports published, Liberia continues to </w:t>
      </w:r>
      <w:r>
        <w:rPr>
          <w:rFonts w:ascii="Times New Roman" w:eastAsia="Palatino Linotype" w:hAnsi="Times New Roman" w:cs="Times New Roman"/>
          <w:sz w:val="24"/>
          <w:szCs w:val="24"/>
          <w:lang w:val="en-LR"/>
        </w:rPr>
        <w:t>lead</w:t>
      </w:r>
      <w:r w:rsidRPr="00B64E68">
        <w:rPr>
          <w:rFonts w:ascii="Times New Roman" w:eastAsia="Palatino Linotype" w:hAnsi="Times New Roman" w:cs="Times New Roman"/>
          <w:sz w:val="24"/>
          <w:szCs w:val="24"/>
          <w:lang w:val="en-LR"/>
        </w:rPr>
        <w:t xml:space="preserve"> in EITI implementation. Notable achievements include being one of only two countries to legislate EITI implementation, expanding the initiative to encompass forestry and agriculture, pioneering a post-award process audit in 2013, and piloting beneficial ownership disclosure. These milestones underscore Liberia’s role as a trailblazer in global EITI efforts.</w:t>
      </w:r>
    </w:p>
    <w:p w14:paraId="67E2C4BA" w14:textId="77777777" w:rsidR="00423D65" w:rsidRPr="00B64E68" w:rsidRDefault="00423D65" w:rsidP="00423D65">
      <w:pPr>
        <w:jc w:val="both"/>
        <w:rPr>
          <w:rFonts w:ascii="Times New Roman" w:eastAsia="Palatino Linotype" w:hAnsi="Times New Roman" w:cs="Times New Roman"/>
          <w:sz w:val="24"/>
          <w:szCs w:val="24"/>
          <w:lang w:val="en-LR"/>
        </w:rPr>
      </w:pPr>
      <w:r w:rsidRPr="00B64E68">
        <w:rPr>
          <w:rFonts w:ascii="Times New Roman" w:eastAsia="Palatino Linotype" w:hAnsi="Times New Roman" w:cs="Times New Roman"/>
          <w:sz w:val="24"/>
          <w:szCs w:val="24"/>
          <w:lang w:val="en-LR"/>
        </w:rPr>
        <w:t>This Annual Activity Report for 202</w:t>
      </w:r>
      <w:r>
        <w:rPr>
          <w:rFonts w:ascii="Times New Roman" w:eastAsia="Palatino Linotype" w:hAnsi="Times New Roman" w:cs="Times New Roman"/>
          <w:sz w:val="24"/>
          <w:szCs w:val="24"/>
          <w:lang w:val="en-LR"/>
        </w:rPr>
        <w:t>5</w:t>
      </w:r>
      <w:r w:rsidRPr="00B64E68">
        <w:rPr>
          <w:rFonts w:ascii="Times New Roman" w:eastAsia="Palatino Linotype" w:hAnsi="Times New Roman" w:cs="Times New Roman"/>
          <w:sz w:val="24"/>
          <w:szCs w:val="24"/>
          <w:lang w:val="en-LR"/>
        </w:rPr>
        <w:t xml:space="preserve"> reflects the progress made in advancing EITI standards, assessing the outcomes of LEITI’s work, and strengthening natural resource governance. It highlights achievements against the 202</w:t>
      </w:r>
      <w:r>
        <w:rPr>
          <w:rFonts w:ascii="Times New Roman" w:eastAsia="Palatino Linotype" w:hAnsi="Times New Roman" w:cs="Times New Roman"/>
          <w:sz w:val="24"/>
          <w:szCs w:val="24"/>
          <w:lang w:val="en-LR"/>
        </w:rPr>
        <w:t>4</w:t>
      </w:r>
      <w:r w:rsidRPr="00B64E68">
        <w:rPr>
          <w:rFonts w:ascii="Times New Roman" w:eastAsia="Palatino Linotype" w:hAnsi="Times New Roman" w:cs="Times New Roman"/>
          <w:sz w:val="24"/>
          <w:szCs w:val="24"/>
          <w:lang w:val="en-LR"/>
        </w:rPr>
        <w:t>/202</w:t>
      </w:r>
      <w:r>
        <w:rPr>
          <w:rFonts w:ascii="Times New Roman" w:eastAsia="Palatino Linotype" w:hAnsi="Times New Roman" w:cs="Times New Roman"/>
          <w:sz w:val="24"/>
          <w:szCs w:val="24"/>
          <w:lang w:val="en-LR"/>
        </w:rPr>
        <w:t>5</w:t>
      </w:r>
      <w:r w:rsidRPr="00B64E68">
        <w:rPr>
          <w:rFonts w:ascii="Times New Roman" w:eastAsia="Palatino Linotype" w:hAnsi="Times New Roman" w:cs="Times New Roman"/>
          <w:sz w:val="24"/>
          <w:szCs w:val="24"/>
          <w:lang w:val="en-LR"/>
        </w:rPr>
        <w:t xml:space="preserve"> Workplan, progress toward meeting EITI requirements, and insights into the reporting period's strengths, challenges, and implementation costs.</w:t>
      </w:r>
    </w:p>
    <w:p w14:paraId="01A1EFA9" w14:textId="77777777" w:rsidR="00423D65" w:rsidRPr="0036106E" w:rsidRDefault="00423D65" w:rsidP="00423D65">
      <w:pPr>
        <w:jc w:val="both"/>
        <w:rPr>
          <w:rFonts w:ascii="Times New Roman" w:eastAsia="Palatino Linotype" w:hAnsi="Times New Roman" w:cs="Times New Roman"/>
          <w:sz w:val="24"/>
          <w:szCs w:val="24"/>
          <w:lang w:val="en-LR"/>
        </w:rPr>
      </w:pPr>
      <w:r w:rsidRPr="00B64E68">
        <w:rPr>
          <w:rFonts w:ascii="Times New Roman" w:eastAsia="Palatino Linotype" w:hAnsi="Times New Roman" w:cs="Times New Roman"/>
          <w:sz w:val="24"/>
          <w:szCs w:val="24"/>
          <w:lang w:val="en-LR"/>
        </w:rPr>
        <w:t>As a testament to Liberia’s commitment to transparency, this report is developed in accordance with EITI Standard Requirement 7.2. It aims to provide stakeholders with a comprehensive overview of LEITI’s impact on the governance of the country’s natural resources.</w:t>
      </w:r>
    </w:p>
    <w:p w14:paraId="3C73E2F0" w14:textId="77777777" w:rsidR="00423D65" w:rsidRPr="00B64E68" w:rsidRDefault="00423D65" w:rsidP="00222665">
      <w:pPr>
        <w:pStyle w:val="Heading1"/>
      </w:pPr>
      <w:bookmarkStart w:id="3" w:name="_Toc217895909"/>
      <w:r w:rsidRPr="00B64E68">
        <w:t>Executive Summary</w:t>
      </w:r>
      <w:bookmarkEnd w:id="3"/>
    </w:p>
    <w:p w14:paraId="44D5E209" w14:textId="005656C4" w:rsidR="00423D65" w:rsidRPr="00B64E68" w:rsidRDefault="00423D65" w:rsidP="00423D65">
      <w:p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 xml:space="preserve">The Liberia Extractive Industries Transparency Initiative (LEITI), in alignment with its mandate to promote transparent and accountable resource management, implemented a series of strategic </w:t>
      </w:r>
      <w:r w:rsidRPr="00B64E68">
        <w:rPr>
          <w:rFonts w:ascii="Times New Roman" w:hAnsi="Times New Roman" w:cs="Times New Roman"/>
          <w:sz w:val="24"/>
          <w:szCs w:val="24"/>
          <w:lang w:val="en-LR"/>
        </w:rPr>
        <w:lastRenderedPageBreak/>
        <w:t>programs and activities throughout 202</w:t>
      </w:r>
      <w:r>
        <w:rPr>
          <w:rFonts w:ascii="Times New Roman" w:hAnsi="Times New Roman" w:cs="Times New Roman"/>
          <w:sz w:val="24"/>
          <w:szCs w:val="24"/>
          <w:lang w:val="en-LR"/>
        </w:rPr>
        <w:t>5</w:t>
      </w:r>
      <w:r w:rsidRPr="00B64E68">
        <w:rPr>
          <w:rFonts w:ascii="Times New Roman" w:hAnsi="Times New Roman" w:cs="Times New Roman"/>
          <w:sz w:val="24"/>
          <w:szCs w:val="24"/>
          <w:lang w:val="en-LR"/>
        </w:rPr>
        <w:t>. These initiatives, outlined in the LEITI 2024</w:t>
      </w:r>
      <w:r>
        <w:rPr>
          <w:rFonts w:ascii="Times New Roman" w:hAnsi="Times New Roman" w:cs="Times New Roman"/>
          <w:sz w:val="24"/>
          <w:szCs w:val="24"/>
          <w:lang w:val="en-LR"/>
        </w:rPr>
        <w:t>-2025</w:t>
      </w:r>
      <w:r w:rsidRPr="00B64E68">
        <w:rPr>
          <w:rFonts w:ascii="Times New Roman" w:hAnsi="Times New Roman" w:cs="Times New Roman"/>
          <w:sz w:val="24"/>
          <w:szCs w:val="24"/>
          <w:lang w:val="en-LR"/>
        </w:rPr>
        <w:t xml:space="preserve"> Work Plan, aimed to foster transparency, enhance stakeholder engagement, and strengthen governance within Liberia’s extractive sector. Despite significant financial and capacity constraints, the LEITI achieved </w:t>
      </w:r>
      <w:r>
        <w:rPr>
          <w:rFonts w:ascii="Times New Roman" w:hAnsi="Times New Roman" w:cs="Times New Roman"/>
          <w:sz w:val="24"/>
          <w:szCs w:val="24"/>
          <w:lang w:val="en-LR"/>
        </w:rPr>
        <w:t xml:space="preserve">a notable </w:t>
      </w:r>
      <w:r w:rsidRPr="00B43092">
        <w:rPr>
          <w:rFonts w:ascii="Times New Roman" w:hAnsi="Times New Roman" w:cs="Times New Roman"/>
          <w:b/>
          <w:bCs/>
          <w:sz w:val="24"/>
          <w:szCs w:val="24"/>
          <w:shd w:val="clear" w:color="auto" w:fill="00B050"/>
          <w:lang w:val="en-LR"/>
        </w:rPr>
        <w:t>8</w:t>
      </w:r>
      <w:r w:rsidR="00B43092" w:rsidRPr="00B43092">
        <w:rPr>
          <w:rFonts w:ascii="Times New Roman" w:hAnsi="Times New Roman" w:cs="Times New Roman"/>
          <w:b/>
          <w:bCs/>
          <w:sz w:val="24"/>
          <w:szCs w:val="24"/>
          <w:shd w:val="clear" w:color="auto" w:fill="00B050"/>
          <w:lang w:val="en-LR"/>
        </w:rPr>
        <w:t>5</w:t>
      </w:r>
      <w:r w:rsidRPr="00B43092">
        <w:rPr>
          <w:rFonts w:ascii="Times New Roman" w:hAnsi="Times New Roman" w:cs="Times New Roman"/>
          <w:b/>
          <w:bCs/>
          <w:sz w:val="24"/>
          <w:szCs w:val="24"/>
          <w:shd w:val="clear" w:color="auto" w:fill="00B050"/>
          <w:lang w:val="en-LR"/>
        </w:rPr>
        <w:t>%</w:t>
      </w:r>
      <w:r>
        <w:rPr>
          <w:rFonts w:ascii="Times New Roman" w:hAnsi="Times New Roman" w:cs="Times New Roman"/>
          <w:sz w:val="24"/>
          <w:szCs w:val="24"/>
          <w:lang w:val="en-LR"/>
        </w:rPr>
        <w:t xml:space="preserve"> completion rate for</w:t>
      </w:r>
      <w:r w:rsidRPr="00B64E68">
        <w:rPr>
          <w:rFonts w:ascii="Times New Roman" w:hAnsi="Times New Roman" w:cs="Times New Roman"/>
          <w:sz w:val="24"/>
          <w:szCs w:val="24"/>
          <w:lang w:val="en-LR"/>
        </w:rPr>
        <w:t xml:space="preserve"> its planned activities.</w:t>
      </w:r>
    </w:p>
    <w:p w14:paraId="5C4D5832" w14:textId="77777777" w:rsidR="00423D65" w:rsidRPr="00B64E68" w:rsidRDefault="00423D65" w:rsidP="00423D65">
      <w:pPr>
        <w:jc w:val="both"/>
        <w:rPr>
          <w:rFonts w:ascii="Times New Roman" w:hAnsi="Times New Roman" w:cs="Times New Roman"/>
          <w:b/>
          <w:bCs/>
          <w:sz w:val="24"/>
          <w:szCs w:val="24"/>
          <w:lang w:val="en-LR"/>
        </w:rPr>
      </w:pPr>
      <w:r w:rsidRPr="00B64E68">
        <w:rPr>
          <w:rFonts w:ascii="Times New Roman" w:hAnsi="Times New Roman" w:cs="Times New Roman"/>
          <w:b/>
          <w:bCs/>
          <w:sz w:val="24"/>
          <w:szCs w:val="24"/>
          <w:lang w:val="en-LR"/>
        </w:rPr>
        <w:t>Key Achievements and Activities:</w:t>
      </w:r>
    </w:p>
    <w:p w14:paraId="1E3D69B5"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Enhancing Timely Communication and Public Awareness:</w:t>
      </w:r>
    </w:p>
    <w:p w14:paraId="350CFBAD" w14:textId="77777777" w:rsidR="00423D65" w:rsidRPr="00B64E68" w:rsidRDefault="00423D65" w:rsidP="00423D65">
      <w:pPr>
        <w:pStyle w:val="ListParagraph"/>
        <w:numPr>
          <w:ilvl w:val="0"/>
          <w:numId w:val="17"/>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Strengthened communication efforts to improve public understanding of EITI implementation and its impact.</w:t>
      </w:r>
    </w:p>
    <w:p w14:paraId="4E1FFB28" w14:textId="77777777" w:rsidR="00423D65" w:rsidRPr="00B64E68" w:rsidRDefault="00423D65" w:rsidP="00423D65">
      <w:pPr>
        <w:pStyle w:val="ListParagraph"/>
        <w:numPr>
          <w:ilvl w:val="0"/>
          <w:numId w:val="17"/>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Promoted awareness campaigns to encourage active participation in resource governance discussions.</w:t>
      </w:r>
    </w:p>
    <w:p w14:paraId="3BF3092B"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Capacity Building for Effective EITI Implementation:</w:t>
      </w:r>
    </w:p>
    <w:p w14:paraId="75B39614" w14:textId="77777777" w:rsidR="00423D65" w:rsidRPr="0036106E" w:rsidRDefault="00423D65" w:rsidP="00423D65">
      <w:pPr>
        <w:pStyle w:val="ListParagraph"/>
        <w:numPr>
          <w:ilvl w:val="0"/>
          <w:numId w:val="25"/>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 xml:space="preserve">Conducted targeted training sessions to build technical expertise among stakeholders for more effective EITI compliance and reporting. </w:t>
      </w:r>
    </w:p>
    <w:p w14:paraId="059166D8" w14:textId="77777777" w:rsidR="00423D65" w:rsidRPr="0036106E" w:rsidRDefault="00423D65" w:rsidP="00423D65">
      <w:pPr>
        <w:pStyle w:val="ListParagraph"/>
        <w:numPr>
          <w:ilvl w:val="0"/>
          <w:numId w:val="25"/>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Conducted targeted trainings for forty women from twenty Civil Society Organizations to strengthen their capacity to improve advocacy around LEITI data.</w:t>
      </w:r>
    </w:p>
    <w:p w14:paraId="36231D66" w14:textId="77777777" w:rsidR="00423D65" w:rsidRPr="0036106E" w:rsidRDefault="00423D65" w:rsidP="00423D65">
      <w:pPr>
        <w:pStyle w:val="ListParagraph"/>
        <w:numPr>
          <w:ilvl w:val="0"/>
          <w:numId w:val="25"/>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 xml:space="preserve">Conducted targeted training for members of the Multi-Stakeholder Group. </w:t>
      </w:r>
    </w:p>
    <w:p w14:paraId="7C2B9CFB" w14:textId="77777777" w:rsidR="00423D65" w:rsidRPr="0036106E" w:rsidRDefault="00423D65" w:rsidP="00423D65">
      <w:pPr>
        <w:pStyle w:val="ListParagraph"/>
        <w:numPr>
          <w:ilvl w:val="0"/>
          <w:numId w:val="25"/>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Six staff members completed both national and International short-term trainings.</w:t>
      </w:r>
    </w:p>
    <w:p w14:paraId="30323B9A" w14:textId="77777777" w:rsidR="00423D65" w:rsidRPr="0036106E" w:rsidRDefault="00423D65" w:rsidP="00423D65">
      <w:pPr>
        <w:pStyle w:val="ListParagraph"/>
        <w:numPr>
          <w:ilvl w:val="0"/>
          <w:numId w:val="25"/>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 xml:space="preserve">Partnered with other civil society organizations to provide targeted training for some members of the National Legislature. </w:t>
      </w:r>
    </w:p>
    <w:p w14:paraId="12254483"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Citizen Engagement in Resource Management:</w:t>
      </w:r>
    </w:p>
    <w:p w14:paraId="3AC20698" w14:textId="77777777" w:rsidR="00423D65" w:rsidRPr="00B64E68" w:rsidRDefault="00423D65" w:rsidP="00423D65">
      <w:pPr>
        <w:pStyle w:val="ListParagraph"/>
        <w:numPr>
          <w:ilvl w:val="0"/>
          <w:numId w:val="18"/>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Facilitated public debates and consultations to empower citizens to participate in decision-making processes across the resource value chain.</w:t>
      </w:r>
    </w:p>
    <w:p w14:paraId="4083C71E"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Production and Dissemination of EITI Reports:</w:t>
      </w:r>
    </w:p>
    <w:p w14:paraId="1A7A91D5" w14:textId="77777777" w:rsidR="00423D65" w:rsidRPr="00B64E68" w:rsidRDefault="00423D65" w:rsidP="00423D65">
      <w:pPr>
        <w:pStyle w:val="ListParagraph"/>
        <w:numPr>
          <w:ilvl w:val="0"/>
          <w:numId w:val="18"/>
        </w:numPr>
        <w:jc w:val="both"/>
        <w:rPr>
          <w:rFonts w:ascii="Times New Roman" w:hAnsi="Times New Roman" w:cs="Times New Roman"/>
          <w:sz w:val="24"/>
          <w:szCs w:val="24"/>
          <w:lang w:val="en-LR"/>
        </w:rPr>
      </w:pPr>
      <w:r>
        <w:rPr>
          <w:rFonts w:ascii="Times New Roman" w:hAnsi="Times New Roman" w:cs="Times New Roman"/>
          <w:sz w:val="24"/>
          <w:szCs w:val="24"/>
          <w:lang w:val="en-LR"/>
        </w:rPr>
        <w:t>P</w:t>
      </w:r>
      <w:r w:rsidRPr="00B64E68">
        <w:rPr>
          <w:rFonts w:ascii="Times New Roman" w:hAnsi="Times New Roman" w:cs="Times New Roman"/>
          <w:sz w:val="24"/>
          <w:szCs w:val="24"/>
          <w:lang w:val="en-LR"/>
        </w:rPr>
        <w:t>roduce</w:t>
      </w:r>
      <w:r>
        <w:rPr>
          <w:rFonts w:ascii="Times New Roman" w:hAnsi="Times New Roman" w:cs="Times New Roman"/>
          <w:sz w:val="24"/>
          <w:szCs w:val="24"/>
          <w:lang w:val="en-LR"/>
        </w:rPr>
        <w:t>d</w:t>
      </w:r>
      <w:r w:rsidRPr="00B64E68">
        <w:rPr>
          <w:rFonts w:ascii="Times New Roman" w:hAnsi="Times New Roman" w:cs="Times New Roman"/>
          <w:sz w:val="24"/>
          <w:szCs w:val="24"/>
          <w:lang w:val="en-LR"/>
        </w:rPr>
        <w:t xml:space="preserve"> Liberia’s 16th EITI Report, detailing the extractive sector’s contribution to the national budget for the 2023 fiscal year.</w:t>
      </w:r>
    </w:p>
    <w:p w14:paraId="6B395A3D" w14:textId="77777777" w:rsidR="00423D65" w:rsidRDefault="00423D65" w:rsidP="00423D65">
      <w:pPr>
        <w:pStyle w:val="ListParagraph"/>
        <w:numPr>
          <w:ilvl w:val="0"/>
          <w:numId w:val="18"/>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Disseminated the 13th, 14th, and 15th EITI Reports to ensure broad access to critical sectoral information.</w:t>
      </w:r>
    </w:p>
    <w:p w14:paraId="1247C967" w14:textId="77777777" w:rsidR="00423D65" w:rsidRDefault="00423D65" w:rsidP="00423D65">
      <w:pPr>
        <w:pStyle w:val="ListParagraph"/>
        <w:numPr>
          <w:ilvl w:val="0"/>
          <w:numId w:val="18"/>
        </w:numPr>
        <w:jc w:val="both"/>
        <w:rPr>
          <w:rFonts w:ascii="Times New Roman" w:hAnsi="Times New Roman" w:cs="Times New Roman"/>
          <w:sz w:val="24"/>
          <w:szCs w:val="24"/>
          <w:lang w:val="en-LR"/>
        </w:rPr>
      </w:pPr>
      <w:r>
        <w:rPr>
          <w:rFonts w:ascii="Times New Roman" w:hAnsi="Times New Roman" w:cs="Times New Roman"/>
          <w:sz w:val="24"/>
          <w:szCs w:val="24"/>
          <w:lang w:val="en-LR"/>
        </w:rPr>
        <w:t xml:space="preserve">Updated LEITI’s Simplified Contract Matrix. </w:t>
      </w:r>
    </w:p>
    <w:p w14:paraId="670635FA" w14:textId="77777777" w:rsidR="00423D65" w:rsidRPr="0036106E" w:rsidRDefault="00423D65" w:rsidP="00423D65">
      <w:pPr>
        <w:pStyle w:val="ListParagraph"/>
        <w:numPr>
          <w:ilvl w:val="0"/>
          <w:numId w:val="18"/>
        </w:numPr>
        <w:rPr>
          <w:rFonts w:ascii="Times New Roman" w:hAnsi="Times New Roman" w:cs="Times New Roman"/>
          <w:sz w:val="24"/>
          <w:szCs w:val="24"/>
          <w:lang w:val="en-LR"/>
        </w:rPr>
      </w:pPr>
      <w:r w:rsidRPr="0036106E">
        <w:rPr>
          <w:rFonts w:ascii="Times New Roman" w:hAnsi="Times New Roman" w:cs="Times New Roman"/>
          <w:sz w:val="24"/>
          <w:szCs w:val="24"/>
          <w:lang w:val="en-LR"/>
        </w:rPr>
        <w:t xml:space="preserve">Commencement of a Compliance Investigation Report for six companies in the mining sector. </w:t>
      </w:r>
    </w:p>
    <w:p w14:paraId="7451B58C" w14:textId="77777777" w:rsidR="00423D65" w:rsidRPr="0036106E"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Collaboration with Anti-Corruption Entities:</w:t>
      </w:r>
    </w:p>
    <w:p w14:paraId="7DAEB41E" w14:textId="77777777" w:rsidR="00423D65" w:rsidRPr="0036106E" w:rsidRDefault="00423D65" w:rsidP="00423D65">
      <w:pPr>
        <w:pStyle w:val="ListParagraph"/>
        <w:numPr>
          <w:ilvl w:val="0"/>
          <w:numId w:val="28"/>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 xml:space="preserve">Referral of suspected irregularities in the extractive sector to the Liberia Anti-Corruption Commission for deeper review. </w:t>
      </w:r>
    </w:p>
    <w:p w14:paraId="3240D145" w14:textId="77777777" w:rsidR="00423D65" w:rsidRPr="0036106E"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lastRenderedPageBreak/>
        <w:t>Creation of Reporting Mechanisms:</w:t>
      </w:r>
    </w:p>
    <w:p w14:paraId="7BA90CF8" w14:textId="77777777" w:rsidR="00423D65" w:rsidRPr="0036106E" w:rsidRDefault="00423D65" w:rsidP="00423D65">
      <w:pPr>
        <w:pStyle w:val="ListParagraph"/>
        <w:numPr>
          <w:ilvl w:val="0"/>
          <w:numId w:val="28"/>
        </w:numPr>
        <w:jc w:val="both"/>
        <w:rPr>
          <w:rFonts w:ascii="Times New Roman" w:hAnsi="Times New Roman" w:cs="Times New Roman"/>
          <w:sz w:val="24"/>
          <w:szCs w:val="24"/>
          <w:lang w:val="en-LR"/>
        </w:rPr>
      </w:pPr>
      <w:r w:rsidRPr="0036106E">
        <w:rPr>
          <w:rFonts w:ascii="Times New Roman" w:hAnsi="Times New Roman" w:cs="Times New Roman"/>
          <w:sz w:val="24"/>
          <w:szCs w:val="24"/>
          <w:lang w:val="en-LR"/>
        </w:rPr>
        <w:t>LEITI MSG reviewed and approved the Data Portal and Reports.</w:t>
      </w:r>
    </w:p>
    <w:p w14:paraId="1F637C2F"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Sectoral Risk Assessments and Policy Reviews:</w:t>
      </w:r>
    </w:p>
    <w:p w14:paraId="7CB1434E" w14:textId="77777777" w:rsidR="00423D65" w:rsidRPr="00B64E68" w:rsidRDefault="00423D65" w:rsidP="00423D65">
      <w:pPr>
        <w:pStyle w:val="ListParagraph"/>
        <w:numPr>
          <w:ilvl w:val="0"/>
          <w:numId w:val="20"/>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Reviewed Liberia’s current energy policy and provided actionable recommendations for policy enhancement.</w:t>
      </w:r>
    </w:p>
    <w:p w14:paraId="376FEFB6"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Compliance and Impact Studies:</w:t>
      </w:r>
    </w:p>
    <w:p w14:paraId="68DCB0DD" w14:textId="77777777" w:rsidR="00423D65" w:rsidRPr="00B64E68" w:rsidRDefault="00423D65" w:rsidP="00423D65">
      <w:pPr>
        <w:pStyle w:val="ListParagraph"/>
        <w:numPr>
          <w:ilvl w:val="0"/>
          <w:numId w:val="21"/>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Undertook compliance reviews of license renewals and concessions in the mining, forestry, agriculture, and oil and gas sectors to ensure adherence to contractual obligations.</w:t>
      </w:r>
    </w:p>
    <w:p w14:paraId="7579FAB4"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Strengthening County-Level Partnerships:</w:t>
      </w:r>
    </w:p>
    <w:p w14:paraId="6393C539" w14:textId="77777777" w:rsidR="00423D65" w:rsidRPr="00B64E68" w:rsidRDefault="00423D65" w:rsidP="00423D65">
      <w:pPr>
        <w:pStyle w:val="ListParagraph"/>
        <w:numPr>
          <w:ilvl w:val="0"/>
          <w:numId w:val="22"/>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Built partnerships at the county level to monitor and report on utilizing Social Development Funds (SDF), ensuring transparency and accountability in local resource management.</w:t>
      </w:r>
    </w:p>
    <w:p w14:paraId="37020309" w14:textId="77777777" w:rsidR="00423D65" w:rsidRPr="00B64E68" w:rsidRDefault="00423D65" w:rsidP="00423D65">
      <w:pPr>
        <w:numPr>
          <w:ilvl w:val="0"/>
          <w:numId w:val="16"/>
        </w:numPr>
        <w:jc w:val="both"/>
        <w:rPr>
          <w:rFonts w:ascii="Times New Roman" w:hAnsi="Times New Roman" w:cs="Times New Roman"/>
          <w:sz w:val="24"/>
          <w:szCs w:val="24"/>
          <w:lang w:val="en-LR"/>
        </w:rPr>
      </w:pPr>
      <w:r w:rsidRPr="00B64E68">
        <w:rPr>
          <w:rFonts w:ascii="Times New Roman" w:hAnsi="Times New Roman" w:cs="Times New Roman"/>
          <w:b/>
          <w:bCs/>
          <w:sz w:val="24"/>
          <w:szCs w:val="24"/>
          <w:lang w:val="en-LR"/>
        </w:rPr>
        <w:t>Addressing Validation Corrective Actions:</w:t>
      </w:r>
    </w:p>
    <w:p w14:paraId="633B3640" w14:textId="77777777" w:rsidR="00423D65" w:rsidRPr="00B64E68" w:rsidRDefault="00423D65" w:rsidP="00423D65">
      <w:pPr>
        <w:pStyle w:val="ListParagraph"/>
        <w:numPr>
          <w:ilvl w:val="0"/>
          <w:numId w:val="22"/>
        </w:num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Developed a comprehensive work plan to address all corrective actions identified in the last EITI validation process, further solidifying Liberia’s commitment to EITI standards.</w:t>
      </w:r>
    </w:p>
    <w:p w14:paraId="719D281D" w14:textId="33F28829" w:rsidR="00423D65" w:rsidRPr="00B64E68" w:rsidRDefault="00423D65" w:rsidP="00423D65">
      <w:p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The implementation of the 2024</w:t>
      </w:r>
      <w:r w:rsidR="00A20556">
        <w:rPr>
          <w:rFonts w:ascii="Times New Roman" w:hAnsi="Times New Roman" w:cs="Times New Roman"/>
          <w:sz w:val="24"/>
          <w:szCs w:val="24"/>
          <w:lang w:val="en-LR"/>
        </w:rPr>
        <w:t>-2025</w:t>
      </w:r>
      <w:r w:rsidRPr="00B64E68">
        <w:rPr>
          <w:rFonts w:ascii="Times New Roman" w:hAnsi="Times New Roman" w:cs="Times New Roman"/>
          <w:sz w:val="24"/>
          <w:szCs w:val="24"/>
          <w:lang w:val="en-LR"/>
        </w:rPr>
        <w:t xml:space="preserve"> Work Plan </w:t>
      </w:r>
      <w:r w:rsidR="00A20556">
        <w:rPr>
          <w:rFonts w:ascii="Times New Roman" w:hAnsi="Times New Roman" w:cs="Times New Roman"/>
          <w:sz w:val="24"/>
          <w:szCs w:val="24"/>
          <w:lang w:val="en-LR"/>
        </w:rPr>
        <w:t>faced</w:t>
      </w:r>
      <w:r w:rsidRPr="00B64E68">
        <w:rPr>
          <w:rFonts w:ascii="Times New Roman" w:hAnsi="Times New Roman" w:cs="Times New Roman"/>
          <w:sz w:val="24"/>
          <w:szCs w:val="24"/>
          <w:lang w:val="en-LR"/>
        </w:rPr>
        <w:t xml:space="preserve"> obstacles. Financial constraints, limited technical capacity, and systemic challenges posed significant hurdles. Nevertheless, </w:t>
      </w:r>
      <w:r w:rsidR="00A20556">
        <w:rPr>
          <w:rFonts w:ascii="Times New Roman" w:hAnsi="Times New Roman" w:cs="Times New Roman"/>
          <w:sz w:val="24"/>
          <w:szCs w:val="24"/>
          <w:lang w:val="en-LR"/>
        </w:rPr>
        <w:t>LEITI’s determined efforts led to</w:t>
      </w:r>
      <w:r w:rsidRPr="00B64E68">
        <w:rPr>
          <w:rFonts w:ascii="Times New Roman" w:hAnsi="Times New Roman" w:cs="Times New Roman"/>
          <w:sz w:val="24"/>
          <w:szCs w:val="24"/>
          <w:lang w:val="en-LR"/>
        </w:rPr>
        <w:t xml:space="preserve"> substantial progress, with most planned activities completed. This achievement underscores the Secretariat’s resilience and commitment to promoting transparency and accountability in Liberia’s extractive industries.</w:t>
      </w:r>
    </w:p>
    <w:p w14:paraId="3518CBD5" w14:textId="3E38E874" w:rsidR="00423D65" w:rsidRPr="00B64E68" w:rsidRDefault="00423D65" w:rsidP="00423D65">
      <w:pPr>
        <w:jc w:val="both"/>
        <w:rPr>
          <w:rFonts w:ascii="Times New Roman" w:hAnsi="Times New Roman" w:cs="Times New Roman"/>
          <w:sz w:val="24"/>
          <w:szCs w:val="24"/>
          <w:lang w:val="en-LR"/>
        </w:rPr>
      </w:pPr>
      <w:r w:rsidRPr="00B64E68">
        <w:rPr>
          <w:rFonts w:ascii="Times New Roman" w:hAnsi="Times New Roman" w:cs="Times New Roman"/>
          <w:sz w:val="24"/>
          <w:szCs w:val="24"/>
          <w:lang w:val="en-LR"/>
        </w:rPr>
        <w:t xml:space="preserve">As the LEITI prepares for the coming year, it remains focused on advancing its strategic objectives, fostering stronger partnerships, and addressing remaining gaps in governance and transparency. </w:t>
      </w:r>
      <w:r w:rsidR="00A20556">
        <w:rPr>
          <w:rFonts w:ascii="Times New Roman" w:hAnsi="Times New Roman" w:cs="Times New Roman"/>
          <w:sz w:val="24"/>
          <w:szCs w:val="24"/>
          <w:lang w:val="en-LR"/>
        </w:rPr>
        <w:t xml:space="preserve">Building on the successes of 2024, </w:t>
      </w:r>
      <w:r w:rsidRPr="00B64E68">
        <w:rPr>
          <w:rFonts w:ascii="Times New Roman" w:hAnsi="Times New Roman" w:cs="Times New Roman"/>
          <w:sz w:val="24"/>
          <w:szCs w:val="24"/>
          <w:lang w:val="en-LR"/>
        </w:rPr>
        <w:t>LEITI reaffirms its commitment to ensuring that Liberia’s natural resources contribute meaningfully to sustainable development and the well-being of all citizens.</w:t>
      </w:r>
    </w:p>
    <w:p w14:paraId="1350886B" w14:textId="77777777" w:rsidR="00423D65" w:rsidRPr="00B64E68" w:rsidRDefault="00423D65" w:rsidP="00222665">
      <w:pPr>
        <w:pStyle w:val="Heading1"/>
      </w:pPr>
      <w:bookmarkStart w:id="4" w:name="_Toc217895910"/>
      <w:r w:rsidRPr="00B64E68">
        <w:t>I. Assessment of Performance against Target Activities in Work Plan</w:t>
      </w:r>
      <w:bookmarkEnd w:id="4"/>
    </w:p>
    <w:p w14:paraId="138E22C7"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 xml:space="preserve">LEITI's annual work plans are customarily aligned with the Government’s fiscal term, which now runs from January to December. </w:t>
      </w:r>
    </w:p>
    <w:p w14:paraId="4ED8DEB8" w14:textId="77777777" w:rsidR="00423D65" w:rsidRPr="00B64E68" w:rsidRDefault="00423D65" w:rsidP="00423D65">
      <w:pPr>
        <w:spacing w:after="0" w:line="240" w:lineRule="auto"/>
        <w:jc w:val="both"/>
        <w:rPr>
          <w:rFonts w:ascii="Times New Roman" w:hAnsi="Times New Roman" w:cs="Times New Roman"/>
          <w:sz w:val="24"/>
          <w:szCs w:val="24"/>
        </w:rPr>
      </w:pPr>
    </w:p>
    <w:p w14:paraId="70E51C0C" w14:textId="7ACA77C7" w:rsidR="00423D65" w:rsidRPr="00B64E68" w:rsidRDefault="0081175F"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The execution</w:t>
      </w:r>
      <w:r w:rsidR="00423D65" w:rsidRPr="00B64E68">
        <w:rPr>
          <w:rFonts w:ascii="Times New Roman" w:hAnsi="Times New Roman" w:cs="Times New Roman"/>
          <w:sz w:val="24"/>
          <w:szCs w:val="24"/>
        </w:rPr>
        <w:t xml:space="preserve"> of the 2024</w:t>
      </w:r>
      <w:r>
        <w:rPr>
          <w:rFonts w:ascii="Times New Roman" w:hAnsi="Times New Roman" w:cs="Times New Roman"/>
          <w:sz w:val="24"/>
          <w:szCs w:val="24"/>
        </w:rPr>
        <w:t>-2025</w:t>
      </w:r>
      <w:r w:rsidR="00423D65" w:rsidRPr="00B64E68">
        <w:rPr>
          <w:rFonts w:ascii="Times New Roman" w:hAnsi="Times New Roman" w:cs="Times New Roman"/>
          <w:sz w:val="24"/>
          <w:szCs w:val="24"/>
        </w:rPr>
        <w:t xml:space="preserve"> work </w:t>
      </w:r>
      <w:r w:rsidRPr="00B64E68">
        <w:rPr>
          <w:rFonts w:ascii="Times New Roman" w:hAnsi="Times New Roman" w:cs="Times New Roman"/>
          <w:sz w:val="24"/>
          <w:szCs w:val="24"/>
        </w:rPr>
        <w:t>plan saw</w:t>
      </w:r>
      <w:r w:rsidR="00423D65" w:rsidRPr="00B64E68">
        <w:rPr>
          <w:rFonts w:ascii="Times New Roman" w:hAnsi="Times New Roman" w:cs="Times New Roman"/>
          <w:sz w:val="24"/>
          <w:szCs w:val="24"/>
        </w:rPr>
        <w:t xml:space="preserve"> </w:t>
      </w:r>
      <w:r w:rsidR="00423D65" w:rsidRPr="00B43092">
        <w:rPr>
          <w:rFonts w:ascii="Times New Roman" w:hAnsi="Times New Roman" w:cs="Times New Roman"/>
          <w:b/>
          <w:bCs/>
          <w:sz w:val="24"/>
          <w:szCs w:val="24"/>
          <w:shd w:val="clear" w:color="auto" w:fill="00B050"/>
        </w:rPr>
        <w:t>8</w:t>
      </w:r>
      <w:r w:rsidR="00B43092" w:rsidRPr="00B43092">
        <w:rPr>
          <w:rFonts w:ascii="Times New Roman" w:hAnsi="Times New Roman" w:cs="Times New Roman"/>
          <w:b/>
          <w:bCs/>
          <w:sz w:val="24"/>
          <w:szCs w:val="24"/>
          <w:shd w:val="clear" w:color="auto" w:fill="00B050"/>
        </w:rPr>
        <w:t>5</w:t>
      </w:r>
      <w:r w:rsidR="00423D65" w:rsidRPr="00B43092">
        <w:rPr>
          <w:rFonts w:ascii="Times New Roman" w:hAnsi="Times New Roman" w:cs="Times New Roman"/>
          <w:b/>
          <w:bCs/>
          <w:sz w:val="24"/>
          <w:szCs w:val="24"/>
          <w:shd w:val="clear" w:color="auto" w:fill="00B050"/>
        </w:rPr>
        <w:t>%</w:t>
      </w:r>
      <w:r w:rsidR="00423D65" w:rsidRPr="00B64E68">
        <w:rPr>
          <w:rFonts w:ascii="Times New Roman" w:hAnsi="Times New Roman" w:cs="Times New Roman"/>
          <w:sz w:val="24"/>
          <w:szCs w:val="24"/>
        </w:rPr>
        <w:t xml:space="preserve"> percent of activities outlined in the work plan for the period achieved as presented below: </w:t>
      </w:r>
    </w:p>
    <w:p w14:paraId="2071E515" w14:textId="77777777" w:rsidR="00423D65" w:rsidRPr="00B64E68" w:rsidRDefault="00423D65" w:rsidP="00423D65">
      <w:pPr>
        <w:pStyle w:val="NormalWeb"/>
        <w:shd w:val="clear" w:color="auto" w:fill="FFFFFF"/>
        <w:spacing w:before="0" w:beforeAutospacing="0" w:after="0" w:afterAutospacing="0"/>
        <w:jc w:val="both"/>
        <w:rPr>
          <w:b/>
          <w:bCs/>
          <w:color w:val="333333"/>
          <w:lang w:val="en-LR"/>
        </w:rPr>
      </w:pPr>
    </w:p>
    <w:p w14:paraId="4C6E1FAF" w14:textId="453551E3" w:rsidR="00423D65" w:rsidRPr="00B64E68" w:rsidRDefault="00423D65" w:rsidP="00423D65">
      <w:pPr>
        <w:pStyle w:val="NormalWeb"/>
        <w:shd w:val="clear" w:color="auto" w:fill="FFFFFF"/>
        <w:spacing w:before="0" w:beforeAutospacing="0" w:after="0" w:afterAutospacing="0"/>
        <w:jc w:val="both"/>
        <w:rPr>
          <w:b/>
          <w:bCs/>
          <w:color w:val="333333"/>
        </w:rPr>
      </w:pPr>
      <w:r w:rsidRPr="00B64E68">
        <w:rPr>
          <w:b/>
          <w:bCs/>
          <w:color w:val="333333"/>
          <w:lang w:val="en-LR"/>
        </w:rPr>
        <w:t xml:space="preserve">Launch of </w:t>
      </w:r>
      <w:r w:rsidR="0081175F">
        <w:rPr>
          <w:b/>
          <w:bCs/>
          <w:color w:val="333333"/>
          <w:lang w:val="en-LR"/>
        </w:rPr>
        <w:t>16</w:t>
      </w:r>
      <w:r w:rsidRPr="00B64E68">
        <w:rPr>
          <w:b/>
          <w:bCs/>
          <w:color w:val="333333"/>
          <w:lang w:val="en-LR"/>
        </w:rPr>
        <w:t>th EITI Report</w:t>
      </w:r>
      <w:r w:rsidR="0081175F">
        <w:rPr>
          <w:b/>
          <w:bCs/>
          <w:color w:val="333333"/>
          <w:lang w:val="en-LR"/>
        </w:rPr>
        <w:t xml:space="preserve">, Updated Simplified Contract Matrix and Data Portal </w:t>
      </w:r>
    </w:p>
    <w:p w14:paraId="37C25A3C" w14:textId="4C19B68C" w:rsidR="00423D65" w:rsidRPr="00B64E68" w:rsidRDefault="00423D65" w:rsidP="00423D65">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 xml:space="preserve">On </w:t>
      </w:r>
      <w:r w:rsidR="0081175F">
        <w:rPr>
          <w:rFonts w:ascii="Times New Roman" w:eastAsiaTheme="minorEastAsia" w:hAnsi="Times New Roman" w:cs="Times New Roman"/>
          <w:sz w:val="24"/>
          <w:szCs w:val="24"/>
        </w:rPr>
        <w:t>December 12</w:t>
      </w:r>
      <w:r w:rsidRPr="00B64E68">
        <w:rPr>
          <w:rFonts w:ascii="Times New Roman" w:eastAsiaTheme="minorEastAsia" w:hAnsi="Times New Roman" w:cs="Times New Roman"/>
          <w:sz w:val="24"/>
          <w:szCs w:val="24"/>
        </w:rPr>
        <w:t>, 202</w:t>
      </w:r>
      <w:r w:rsidR="0081175F">
        <w:rPr>
          <w:rFonts w:ascii="Times New Roman" w:eastAsiaTheme="minorEastAsia" w:hAnsi="Times New Roman" w:cs="Times New Roman"/>
          <w:sz w:val="24"/>
          <w:szCs w:val="24"/>
        </w:rPr>
        <w:t>5</w:t>
      </w:r>
      <w:r w:rsidRPr="00B64E68">
        <w:rPr>
          <w:rFonts w:ascii="Times New Roman" w:eastAsiaTheme="minorEastAsia" w:hAnsi="Times New Roman" w:cs="Times New Roman"/>
          <w:sz w:val="24"/>
          <w:szCs w:val="24"/>
        </w:rPr>
        <w:t>, the Liberia Multi-stakeholder arrangement launched the country’s 1</w:t>
      </w:r>
      <w:r w:rsidR="0081175F">
        <w:rPr>
          <w:rFonts w:ascii="Times New Roman" w:eastAsiaTheme="minorEastAsia" w:hAnsi="Times New Roman" w:cs="Times New Roman"/>
          <w:sz w:val="24"/>
          <w:szCs w:val="24"/>
        </w:rPr>
        <w:t>6</w:t>
      </w:r>
      <w:r w:rsidRPr="00B64E68">
        <w:rPr>
          <w:rFonts w:ascii="Times New Roman" w:eastAsiaTheme="minorEastAsia" w:hAnsi="Times New Roman" w:cs="Times New Roman"/>
          <w:sz w:val="24"/>
          <w:szCs w:val="24"/>
          <w:vertAlign w:val="superscript"/>
        </w:rPr>
        <w:t>th</w:t>
      </w:r>
      <w:r w:rsidRPr="00B64E68">
        <w:rPr>
          <w:rFonts w:ascii="Times New Roman" w:eastAsiaTheme="minorEastAsia" w:hAnsi="Times New Roman" w:cs="Times New Roman"/>
          <w:sz w:val="24"/>
          <w:szCs w:val="24"/>
        </w:rPr>
        <w:t xml:space="preserve"> EITI Report</w:t>
      </w:r>
      <w:r w:rsidR="0081175F">
        <w:rPr>
          <w:rFonts w:ascii="Times New Roman" w:eastAsiaTheme="minorEastAsia" w:hAnsi="Times New Roman" w:cs="Times New Roman"/>
          <w:sz w:val="24"/>
          <w:szCs w:val="24"/>
        </w:rPr>
        <w:t>, which reports total tax revenue of</w:t>
      </w:r>
      <w:r w:rsidRPr="00B64E68">
        <w:rPr>
          <w:rFonts w:ascii="Times New Roman" w:eastAsiaTheme="minorEastAsia" w:hAnsi="Times New Roman" w:cs="Times New Roman"/>
          <w:sz w:val="24"/>
          <w:szCs w:val="24"/>
        </w:rPr>
        <w:t xml:space="preserve"> USD 1</w:t>
      </w:r>
      <w:r w:rsidR="0081175F">
        <w:rPr>
          <w:rFonts w:ascii="Times New Roman" w:eastAsiaTheme="minorEastAsia" w:hAnsi="Times New Roman" w:cs="Times New Roman"/>
          <w:sz w:val="24"/>
          <w:szCs w:val="24"/>
        </w:rPr>
        <w:t>52</w:t>
      </w:r>
      <w:r w:rsidRPr="00B64E68">
        <w:rPr>
          <w:rFonts w:ascii="Times New Roman" w:eastAsiaTheme="minorEastAsia" w:hAnsi="Times New Roman" w:cs="Times New Roman"/>
          <w:sz w:val="24"/>
          <w:szCs w:val="24"/>
        </w:rPr>
        <w:t>,</w:t>
      </w:r>
      <w:r w:rsidR="0081175F">
        <w:rPr>
          <w:rFonts w:ascii="Times New Roman" w:eastAsiaTheme="minorEastAsia" w:hAnsi="Times New Roman" w:cs="Times New Roman"/>
          <w:sz w:val="24"/>
          <w:szCs w:val="24"/>
        </w:rPr>
        <w:t>460</w:t>
      </w:r>
      <w:r w:rsidRPr="00B64E68">
        <w:rPr>
          <w:rFonts w:ascii="Times New Roman" w:eastAsiaTheme="minorEastAsia" w:hAnsi="Times New Roman" w:cs="Times New Roman"/>
          <w:sz w:val="24"/>
          <w:szCs w:val="24"/>
        </w:rPr>
        <w:t>,</w:t>
      </w:r>
      <w:r w:rsidR="0081175F">
        <w:rPr>
          <w:rFonts w:ascii="Times New Roman" w:eastAsiaTheme="minorEastAsia" w:hAnsi="Times New Roman" w:cs="Times New Roman"/>
          <w:sz w:val="24"/>
          <w:szCs w:val="24"/>
        </w:rPr>
        <w:t>000</w:t>
      </w:r>
      <w:r w:rsidRPr="00B64E68">
        <w:rPr>
          <w:rFonts w:ascii="Times New Roman" w:eastAsiaTheme="minorEastAsia" w:hAnsi="Times New Roman" w:cs="Times New Roman"/>
          <w:sz w:val="24"/>
          <w:szCs w:val="24"/>
        </w:rPr>
        <w:t>.00</w:t>
      </w:r>
      <w:r w:rsidR="0081175F">
        <w:rPr>
          <w:rFonts w:ascii="Times New Roman" w:eastAsiaTheme="minorEastAsia" w:hAnsi="Times New Roman" w:cs="Times New Roman"/>
          <w:sz w:val="24"/>
          <w:szCs w:val="24"/>
        </w:rPr>
        <w:t>, along with the LEITI Updated Simplified Contract Matrix and Data Portal.</w:t>
      </w:r>
      <w:r w:rsidRPr="00B64E68">
        <w:rPr>
          <w:rFonts w:ascii="Times New Roman" w:eastAsiaTheme="minorEastAsia" w:hAnsi="Times New Roman" w:cs="Times New Roman"/>
          <w:sz w:val="24"/>
          <w:szCs w:val="24"/>
        </w:rPr>
        <w:t xml:space="preserve"> Below are highlights of the report: </w:t>
      </w:r>
    </w:p>
    <w:p w14:paraId="360C8B96" w14:textId="738DF07C"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In March 202</w:t>
      </w:r>
      <w:r w:rsidR="0081175F">
        <w:rPr>
          <w:rFonts w:ascii="Times New Roman" w:eastAsia="Times New Roman" w:hAnsi="Times New Roman" w:cs="Times New Roman"/>
          <w:sz w:val="24"/>
          <w:szCs w:val="24"/>
          <w:lang w:val="en-LR" w:eastAsia="en-LR"/>
        </w:rPr>
        <w:t>4</w:t>
      </w:r>
      <w:r w:rsidRPr="00B64E68">
        <w:rPr>
          <w:rFonts w:ascii="Times New Roman" w:eastAsia="Times New Roman" w:hAnsi="Times New Roman" w:cs="Times New Roman"/>
          <w:sz w:val="24"/>
          <w:szCs w:val="24"/>
          <w:lang w:val="en-LR" w:eastAsia="en-LR"/>
        </w:rPr>
        <w:t>, the MSG commissioned the production of Liberia’s 15th EITI Report, covering the fiscal period from July 1, 2021, to December 31, 202</w:t>
      </w:r>
      <w:r w:rsidR="0081175F">
        <w:rPr>
          <w:rFonts w:ascii="Times New Roman" w:eastAsia="Times New Roman" w:hAnsi="Times New Roman" w:cs="Times New Roman"/>
          <w:sz w:val="24"/>
          <w:szCs w:val="24"/>
          <w:lang w:val="en-LR" w:eastAsia="en-LR"/>
        </w:rPr>
        <w:t>3</w:t>
      </w:r>
      <w:r w:rsidRPr="00B64E68">
        <w:rPr>
          <w:rFonts w:ascii="Times New Roman" w:eastAsia="Times New Roman" w:hAnsi="Times New Roman" w:cs="Times New Roman"/>
          <w:sz w:val="24"/>
          <w:szCs w:val="24"/>
          <w:lang w:val="en-LR" w:eastAsia="en-LR"/>
        </w:rPr>
        <w:t xml:space="preserve">. This report, produced under the traditional reconciliation framework, marks a significant milestone as the </w:t>
      </w:r>
      <w:r w:rsidR="0081175F">
        <w:rPr>
          <w:rFonts w:ascii="Times New Roman" w:eastAsia="Times New Roman" w:hAnsi="Times New Roman" w:cs="Times New Roman"/>
          <w:sz w:val="24"/>
          <w:szCs w:val="24"/>
          <w:lang w:val="en-LR" w:eastAsia="en-LR"/>
        </w:rPr>
        <w:t>second</w:t>
      </w:r>
      <w:r w:rsidRPr="00B64E68">
        <w:rPr>
          <w:rFonts w:ascii="Times New Roman" w:eastAsia="Times New Roman" w:hAnsi="Times New Roman" w:cs="Times New Roman"/>
          <w:sz w:val="24"/>
          <w:szCs w:val="24"/>
          <w:lang w:val="en-LR" w:eastAsia="en-LR"/>
        </w:rPr>
        <w:t xml:space="preserve"> reconciled report post-COVID-19. It captures data from </w:t>
      </w:r>
      <w:r w:rsidR="0081175F">
        <w:rPr>
          <w:rFonts w:ascii="Times New Roman" w:eastAsia="Times New Roman" w:hAnsi="Times New Roman" w:cs="Times New Roman"/>
          <w:sz w:val="24"/>
          <w:szCs w:val="24"/>
          <w:lang w:val="en-LR" w:eastAsia="en-LR"/>
        </w:rPr>
        <w:t>16</w:t>
      </w:r>
      <w:r w:rsidRPr="00B64E68">
        <w:rPr>
          <w:rFonts w:ascii="Times New Roman" w:eastAsia="Times New Roman" w:hAnsi="Times New Roman" w:cs="Times New Roman"/>
          <w:sz w:val="24"/>
          <w:szCs w:val="24"/>
          <w:lang w:val="en-LR" w:eastAsia="en-LR"/>
        </w:rPr>
        <w:t xml:space="preserve"> in-scope companies operating across three of the four covered sectors and ten government institutions.</w:t>
      </w:r>
    </w:p>
    <w:p w14:paraId="1A53C087" w14:textId="373B5D6F"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Parker &amp; Associates LLC, in collaboration with BDO-UK, was contracted to produce the 1</w:t>
      </w:r>
      <w:r w:rsidR="0081175F">
        <w:rPr>
          <w:rFonts w:ascii="Times New Roman" w:eastAsia="Times New Roman" w:hAnsi="Times New Roman" w:cs="Times New Roman"/>
          <w:sz w:val="24"/>
          <w:szCs w:val="24"/>
          <w:lang w:val="en-LR" w:eastAsia="en-LR"/>
        </w:rPr>
        <w:t>6</w:t>
      </w:r>
      <w:r w:rsidRPr="00B64E68">
        <w:rPr>
          <w:rFonts w:ascii="Times New Roman" w:eastAsia="Times New Roman" w:hAnsi="Times New Roman" w:cs="Times New Roman"/>
          <w:sz w:val="24"/>
          <w:szCs w:val="24"/>
          <w:lang w:val="en-LR" w:eastAsia="en-LR"/>
        </w:rPr>
        <w:t>th Report. The report aligns with EITI Requirements 2, 3, 4, 5, and 6, providing comprehensive contextual information on:</w:t>
      </w:r>
    </w:p>
    <w:p w14:paraId="1A0DB604" w14:textId="77777777" w:rsidR="00423D65" w:rsidRPr="00B64E68"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Legal framework and fiscal regime</w:t>
      </w:r>
    </w:p>
    <w:p w14:paraId="1B0C690F" w14:textId="77777777" w:rsidR="00423D65" w:rsidRPr="00B64E68"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Beneficial Ownership (BO) Disclosure</w:t>
      </w:r>
    </w:p>
    <w:p w14:paraId="4627215E" w14:textId="77777777" w:rsidR="00423D65" w:rsidRPr="00B64E68"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Contract transparency</w:t>
      </w:r>
    </w:p>
    <w:p w14:paraId="6637E079" w14:textId="77777777" w:rsidR="00423D65" w:rsidRPr="00B64E68"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extractive sector’s contribution to the economy</w:t>
      </w:r>
    </w:p>
    <w:p w14:paraId="08AB6D2F" w14:textId="77777777" w:rsidR="00423D65" w:rsidRPr="00B64E68"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Production and export data</w:t>
      </w:r>
    </w:p>
    <w:p w14:paraId="338854C7" w14:textId="77777777" w:rsidR="00423D65" w:rsidRPr="00B64E68"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Revenue allocations and state shareholdings</w:t>
      </w:r>
    </w:p>
    <w:p w14:paraId="102932AF" w14:textId="77777777" w:rsidR="00423D65" w:rsidRDefault="00423D65"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License registers and allocations</w:t>
      </w:r>
    </w:p>
    <w:p w14:paraId="498377B1" w14:textId="54FDFF6A" w:rsidR="00AD3339" w:rsidRDefault="00AD3339"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sz w:val="24"/>
          <w:szCs w:val="24"/>
          <w:lang w:val="en-LR" w:eastAsia="en-LR"/>
        </w:rPr>
        <w:t>Anti-Corruption</w:t>
      </w:r>
    </w:p>
    <w:p w14:paraId="3A5388CE" w14:textId="62076D2A" w:rsidR="00AD3339" w:rsidRDefault="00AD3339"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sz w:val="24"/>
          <w:szCs w:val="24"/>
          <w:lang w:val="en-LR" w:eastAsia="en-LR"/>
        </w:rPr>
        <w:t>State shareholding in extractive entities</w:t>
      </w:r>
    </w:p>
    <w:p w14:paraId="138220B3" w14:textId="3BCA8222" w:rsidR="00AD3339" w:rsidRDefault="00AD3339"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sz w:val="24"/>
          <w:szCs w:val="24"/>
          <w:lang w:val="en-LR" w:eastAsia="en-LR"/>
        </w:rPr>
        <w:t>Social and Environmental monitoring</w:t>
      </w:r>
    </w:p>
    <w:p w14:paraId="0A967B76" w14:textId="4414B510" w:rsidR="00AD3339" w:rsidRDefault="00AD3339"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sz w:val="24"/>
          <w:szCs w:val="24"/>
          <w:lang w:val="en-LR" w:eastAsia="en-LR"/>
        </w:rPr>
        <w:t>Energy Transition</w:t>
      </w:r>
    </w:p>
    <w:p w14:paraId="7BD8B93E" w14:textId="497BAD1E" w:rsidR="00AD3339" w:rsidRPr="00B64E68" w:rsidRDefault="00AD3339" w:rsidP="00423D65">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sz w:val="24"/>
          <w:szCs w:val="24"/>
          <w:lang w:val="en-LR" w:eastAsia="en-LR"/>
        </w:rPr>
        <w:t>Artisanal and Small-Scale mining</w:t>
      </w:r>
    </w:p>
    <w:p w14:paraId="178A15A1"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leading contributors to government revenue during the period were:</w:t>
      </w:r>
    </w:p>
    <w:p w14:paraId="276C81DA" w14:textId="122C2EB1" w:rsidR="00423D65" w:rsidRPr="00B64E68" w:rsidRDefault="00423D65" w:rsidP="00423D6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Arcelor Mittal Liberia Limited</w:t>
      </w:r>
      <w:r w:rsidRPr="00B64E68">
        <w:rPr>
          <w:rFonts w:ascii="Times New Roman" w:eastAsia="Times New Roman" w:hAnsi="Times New Roman" w:cs="Times New Roman"/>
          <w:sz w:val="24"/>
          <w:szCs w:val="24"/>
          <w:lang w:val="en-LR" w:eastAsia="en-LR"/>
        </w:rPr>
        <w:t xml:space="preserve">: USD </w:t>
      </w:r>
      <w:bookmarkStart w:id="5" w:name="_Hlk217639939"/>
      <w:r w:rsidR="00AB6DBD">
        <w:rPr>
          <w:rFonts w:ascii="Times New Roman" w:eastAsia="Times New Roman" w:hAnsi="Times New Roman" w:cs="Times New Roman"/>
          <w:sz w:val="24"/>
          <w:szCs w:val="24"/>
          <w:lang w:val="en-LR" w:eastAsia="en-LR"/>
        </w:rPr>
        <w:t>60,022,089.00</w:t>
      </w:r>
      <w:bookmarkEnd w:id="5"/>
    </w:p>
    <w:p w14:paraId="08BE6329" w14:textId="0F4E0A54" w:rsidR="00423D65" w:rsidRPr="00B64E68" w:rsidRDefault="00423D65" w:rsidP="00423D6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Bea Mountain Mining Company</w:t>
      </w:r>
      <w:r w:rsidRPr="00B64E68">
        <w:rPr>
          <w:rFonts w:ascii="Times New Roman" w:eastAsia="Times New Roman" w:hAnsi="Times New Roman" w:cs="Times New Roman"/>
          <w:sz w:val="24"/>
          <w:szCs w:val="24"/>
          <w:lang w:val="en-LR" w:eastAsia="en-LR"/>
        </w:rPr>
        <w:t xml:space="preserve">: USD </w:t>
      </w:r>
      <w:bookmarkStart w:id="6" w:name="_Hlk217639956"/>
      <w:r w:rsidR="00AB6DBD">
        <w:rPr>
          <w:rFonts w:ascii="Times New Roman" w:eastAsia="Times New Roman" w:hAnsi="Times New Roman" w:cs="Times New Roman"/>
          <w:sz w:val="24"/>
          <w:szCs w:val="24"/>
          <w:lang w:val="en-LR" w:eastAsia="en-LR"/>
        </w:rPr>
        <w:t>37,637,109.00</w:t>
      </w:r>
      <w:bookmarkEnd w:id="6"/>
    </w:p>
    <w:p w14:paraId="0AEEE301" w14:textId="0DD84C09" w:rsidR="00423D65" w:rsidRDefault="00423D65" w:rsidP="00423D6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Firestone Liberia Incorporated</w:t>
      </w:r>
      <w:r w:rsidRPr="00B64E68">
        <w:rPr>
          <w:rFonts w:ascii="Times New Roman" w:eastAsia="Times New Roman" w:hAnsi="Times New Roman" w:cs="Times New Roman"/>
          <w:sz w:val="24"/>
          <w:szCs w:val="24"/>
          <w:lang w:val="en-LR" w:eastAsia="en-LR"/>
        </w:rPr>
        <w:t xml:space="preserve">: USD </w:t>
      </w:r>
      <w:r w:rsidR="00AB6DBD">
        <w:rPr>
          <w:rFonts w:ascii="Times New Roman" w:eastAsia="Times New Roman" w:hAnsi="Times New Roman" w:cs="Times New Roman"/>
          <w:sz w:val="24"/>
          <w:szCs w:val="24"/>
          <w:lang w:val="en-LR" w:eastAsia="en-LR"/>
        </w:rPr>
        <w:t>11,645,450.00</w:t>
      </w:r>
    </w:p>
    <w:p w14:paraId="0201BA63" w14:textId="60A42156" w:rsidR="00AB6DBD" w:rsidRDefault="00AB6DBD" w:rsidP="00423D6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b/>
          <w:bCs/>
          <w:sz w:val="24"/>
          <w:szCs w:val="24"/>
          <w:lang w:val="en-LR" w:eastAsia="en-LR"/>
        </w:rPr>
        <w:t>Western Cluster</w:t>
      </w:r>
      <w:r w:rsidRPr="00AB6DBD">
        <w:rPr>
          <w:rFonts w:ascii="Times New Roman" w:eastAsia="Times New Roman" w:hAnsi="Times New Roman" w:cs="Times New Roman"/>
          <w:sz w:val="24"/>
          <w:szCs w:val="24"/>
          <w:lang w:val="en-LR" w:eastAsia="en-LR"/>
        </w:rPr>
        <w:t>-</w:t>
      </w:r>
      <w:r>
        <w:rPr>
          <w:rFonts w:ascii="Times New Roman" w:eastAsia="Times New Roman" w:hAnsi="Times New Roman" w:cs="Times New Roman"/>
          <w:sz w:val="24"/>
          <w:szCs w:val="24"/>
          <w:lang w:val="en-LR" w:eastAsia="en-LR"/>
        </w:rPr>
        <w:t xml:space="preserve"> USD </w:t>
      </w:r>
      <w:bookmarkStart w:id="7" w:name="_Hlk217640031"/>
      <w:r>
        <w:rPr>
          <w:rFonts w:ascii="Times New Roman" w:eastAsia="Times New Roman" w:hAnsi="Times New Roman" w:cs="Times New Roman"/>
          <w:sz w:val="24"/>
          <w:szCs w:val="24"/>
          <w:lang w:val="en-LR" w:eastAsia="en-LR"/>
        </w:rPr>
        <w:t>10,299,451.00</w:t>
      </w:r>
    </w:p>
    <w:bookmarkEnd w:id="7"/>
    <w:p w14:paraId="71B2894C" w14:textId="7BE6704A" w:rsidR="00AB6DBD" w:rsidRDefault="00AB6DBD" w:rsidP="00423D6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b/>
          <w:bCs/>
          <w:sz w:val="24"/>
          <w:szCs w:val="24"/>
          <w:lang w:val="en-LR" w:eastAsia="en-LR"/>
        </w:rPr>
        <w:t>China Union</w:t>
      </w:r>
      <w:r w:rsidRPr="00AB6DBD">
        <w:rPr>
          <w:rFonts w:ascii="Times New Roman" w:eastAsia="Times New Roman" w:hAnsi="Times New Roman" w:cs="Times New Roman"/>
          <w:sz w:val="24"/>
          <w:szCs w:val="24"/>
          <w:lang w:val="en-LR" w:eastAsia="en-LR"/>
        </w:rPr>
        <w:t>-</w:t>
      </w:r>
      <w:r>
        <w:rPr>
          <w:rFonts w:ascii="Times New Roman" w:eastAsia="Times New Roman" w:hAnsi="Times New Roman" w:cs="Times New Roman"/>
          <w:sz w:val="24"/>
          <w:szCs w:val="24"/>
          <w:lang w:val="en-LR" w:eastAsia="en-LR"/>
        </w:rPr>
        <w:t xml:space="preserve"> 9,625, </w:t>
      </w:r>
      <w:r w:rsidR="004B5968">
        <w:rPr>
          <w:rFonts w:ascii="Times New Roman" w:eastAsia="Times New Roman" w:hAnsi="Times New Roman" w:cs="Times New Roman"/>
          <w:sz w:val="24"/>
          <w:szCs w:val="24"/>
          <w:lang w:val="en-LR" w:eastAsia="en-LR"/>
        </w:rPr>
        <w:t>302.00</w:t>
      </w:r>
    </w:p>
    <w:p w14:paraId="7EFAE72F" w14:textId="1BA912CE" w:rsidR="004B5968" w:rsidRPr="00B64E68" w:rsidRDefault="004B5968" w:rsidP="00423D65">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Pr>
          <w:rFonts w:ascii="Times New Roman" w:eastAsia="Times New Roman" w:hAnsi="Times New Roman" w:cs="Times New Roman"/>
          <w:b/>
          <w:bCs/>
          <w:sz w:val="24"/>
          <w:szCs w:val="24"/>
          <w:lang w:val="en-LR" w:eastAsia="en-LR"/>
        </w:rPr>
        <w:t>Others</w:t>
      </w:r>
      <w:r w:rsidRPr="004B5968">
        <w:rPr>
          <w:rFonts w:ascii="Times New Roman" w:eastAsia="Times New Roman" w:hAnsi="Times New Roman" w:cs="Times New Roman"/>
          <w:sz w:val="24"/>
          <w:szCs w:val="24"/>
          <w:lang w:val="en-LR" w:eastAsia="en-LR"/>
        </w:rPr>
        <w:t>-</w:t>
      </w:r>
      <w:r>
        <w:rPr>
          <w:rFonts w:ascii="Times New Roman" w:eastAsia="Times New Roman" w:hAnsi="Times New Roman" w:cs="Times New Roman"/>
          <w:sz w:val="24"/>
          <w:szCs w:val="24"/>
          <w:lang w:val="en-LR" w:eastAsia="en-LR"/>
        </w:rPr>
        <w:t xml:space="preserve"> 23,228,301.00</w:t>
      </w:r>
    </w:p>
    <w:p w14:paraId="09875F4E"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b/>
          <w:bCs/>
          <w:sz w:val="24"/>
          <w:szCs w:val="24"/>
          <w:lang w:val="en-LR" w:eastAsia="en-LR"/>
        </w:rPr>
      </w:pPr>
      <w:r w:rsidRPr="00B64E68">
        <w:rPr>
          <w:rFonts w:ascii="Times New Roman" w:eastAsia="Times New Roman" w:hAnsi="Times New Roman" w:cs="Times New Roman"/>
          <w:b/>
          <w:bCs/>
          <w:sz w:val="24"/>
          <w:szCs w:val="24"/>
          <w:lang w:val="en-LR" w:eastAsia="en-LR"/>
        </w:rPr>
        <w:t>Social and Environmental Expenditure:</w:t>
      </w:r>
    </w:p>
    <w:p w14:paraId="4DE53298" w14:textId="77777777" w:rsidR="004B5968" w:rsidRPr="004B5968" w:rsidRDefault="004B5968" w:rsidP="004B5968">
      <w:pPr>
        <w:pStyle w:val="ListParagraph"/>
        <w:widowControl w:val="0"/>
        <w:numPr>
          <w:ilvl w:val="0"/>
          <w:numId w:val="29"/>
        </w:numPr>
        <w:autoSpaceDE w:val="0"/>
        <w:autoSpaceDN w:val="0"/>
        <w:spacing w:after="0" w:line="240" w:lineRule="auto"/>
        <w:ind w:hanging="361"/>
        <w:contextualSpacing w:val="0"/>
        <w:jc w:val="both"/>
        <w:rPr>
          <w:rFonts w:ascii="Times New Roman" w:hAnsi="Times New Roman" w:cs="Times New Roman"/>
          <w:b/>
          <w:color w:val="000000" w:themeColor="text1"/>
          <w:sz w:val="24"/>
          <w:szCs w:val="24"/>
        </w:rPr>
      </w:pPr>
      <w:r w:rsidRPr="004B5968">
        <w:rPr>
          <w:rFonts w:ascii="Times New Roman" w:hAnsi="Times New Roman" w:cs="Times New Roman"/>
          <w:b/>
          <w:bCs/>
          <w:color w:val="000000" w:themeColor="text1"/>
          <w:sz w:val="24"/>
          <w:szCs w:val="24"/>
        </w:rPr>
        <w:t>Total</w:t>
      </w:r>
      <w:r w:rsidRPr="004B5968">
        <w:rPr>
          <w:rFonts w:ascii="Times New Roman" w:hAnsi="Times New Roman" w:cs="Times New Roman"/>
          <w:b/>
          <w:bCs/>
          <w:color w:val="000000" w:themeColor="text1"/>
          <w:spacing w:val="-6"/>
          <w:sz w:val="24"/>
          <w:szCs w:val="24"/>
        </w:rPr>
        <w:t xml:space="preserve"> </w:t>
      </w:r>
      <w:r w:rsidRPr="004B5968">
        <w:rPr>
          <w:rFonts w:ascii="Times New Roman" w:hAnsi="Times New Roman" w:cs="Times New Roman"/>
          <w:b/>
          <w:bCs/>
          <w:color w:val="000000" w:themeColor="text1"/>
          <w:sz w:val="24"/>
          <w:szCs w:val="24"/>
        </w:rPr>
        <w:t>expenditures</w:t>
      </w:r>
      <w:r w:rsidRPr="004B5968">
        <w:rPr>
          <w:rFonts w:ascii="Times New Roman" w:hAnsi="Times New Roman" w:cs="Times New Roman"/>
          <w:color w:val="000000" w:themeColor="text1"/>
          <w:sz w:val="24"/>
          <w:szCs w:val="24"/>
        </w:rPr>
        <w:t>:</w:t>
      </w:r>
      <w:r w:rsidRPr="004B5968">
        <w:rPr>
          <w:rFonts w:ascii="Times New Roman" w:hAnsi="Times New Roman" w:cs="Times New Roman"/>
          <w:color w:val="000000" w:themeColor="text1"/>
          <w:spacing w:val="-5"/>
          <w:sz w:val="24"/>
          <w:szCs w:val="24"/>
        </w:rPr>
        <w:t xml:space="preserve"> </w:t>
      </w:r>
      <w:r w:rsidRPr="004B5968">
        <w:rPr>
          <w:rFonts w:ascii="Times New Roman" w:hAnsi="Times New Roman" w:cs="Times New Roman"/>
          <w:b/>
          <w:color w:val="000000" w:themeColor="text1"/>
          <w:sz w:val="24"/>
          <w:szCs w:val="24"/>
        </w:rPr>
        <w:t>USD</w:t>
      </w:r>
      <w:r w:rsidRPr="004B5968">
        <w:rPr>
          <w:rFonts w:ascii="Times New Roman" w:hAnsi="Times New Roman" w:cs="Times New Roman"/>
          <w:b/>
          <w:color w:val="000000" w:themeColor="text1"/>
          <w:spacing w:val="-5"/>
          <w:sz w:val="24"/>
          <w:szCs w:val="24"/>
        </w:rPr>
        <w:t xml:space="preserve"> </w:t>
      </w:r>
      <w:r w:rsidRPr="004B5968">
        <w:rPr>
          <w:rFonts w:ascii="Times New Roman" w:hAnsi="Times New Roman" w:cs="Times New Roman"/>
          <w:color w:val="000000" w:themeColor="text1"/>
          <w:sz w:val="24"/>
          <w:szCs w:val="24"/>
        </w:rPr>
        <w:t>24,213,324</w:t>
      </w:r>
      <w:r w:rsidRPr="004B5968">
        <w:rPr>
          <w:rFonts w:ascii="Times New Roman" w:hAnsi="Times New Roman" w:cs="Times New Roman"/>
          <w:b/>
          <w:color w:val="000000" w:themeColor="text1"/>
          <w:spacing w:val="-5"/>
          <w:sz w:val="24"/>
          <w:szCs w:val="24"/>
        </w:rPr>
        <w:t xml:space="preserve"> </w:t>
      </w:r>
      <w:r w:rsidRPr="004B5968">
        <w:rPr>
          <w:rFonts w:ascii="Times New Roman" w:hAnsi="Times New Roman" w:cs="Times New Roman"/>
          <w:b/>
          <w:color w:val="000000" w:themeColor="text1"/>
          <w:spacing w:val="-2"/>
          <w:sz w:val="24"/>
          <w:szCs w:val="24"/>
        </w:rPr>
        <w:t>million</w:t>
      </w:r>
    </w:p>
    <w:p w14:paraId="6CD2C151" w14:textId="77777777" w:rsidR="004B5968" w:rsidRPr="004B5968" w:rsidRDefault="004B5968" w:rsidP="004B5968">
      <w:pPr>
        <w:pStyle w:val="ListParagraph"/>
        <w:widowControl w:val="0"/>
        <w:numPr>
          <w:ilvl w:val="0"/>
          <w:numId w:val="29"/>
        </w:numPr>
        <w:tabs>
          <w:tab w:val="left" w:pos="1280"/>
          <w:tab w:val="left" w:pos="1281"/>
        </w:tabs>
        <w:autoSpaceDE w:val="0"/>
        <w:autoSpaceDN w:val="0"/>
        <w:spacing w:after="0" w:line="293" w:lineRule="exact"/>
        <w:ind w:hanging="361"/>
        <w:contextualSpacing w:val="0"/>
        <w:jc w:val="both"/>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Mandatory</w:t>
      </w:r>
      <w:r w:rsidRPr="004B5968">
        <w:rPr>
          <w:rFonts w:ascii="Times New Roman" w:hAnsi="Times New Roman" w:cs="Times New Roman"/>
          <w:color w:val="000000" w:themeColor="text1"/>
          <w:spacing w:val="-2"/>
          <w:sz w:val="24"/>
          <w:szCs w:val="24"/>
        </w:rPr>
        <w:t xml:space="preserve"> </w:t>
      </w:r>
      <w:r w:rsidRPr="004B5968">
        <w:rPr>
          <w:rFonts w:ascii="Times New Roman" w:hAnsi="Times New Roman" w:cs="Times New Roman"/>
          <w:color w:val="000000" w:themeColor="text1"/>
          <w:sz w:val="24"/>
          <w:szCs w:val="24"/>
        </w:rPr>
        <w:t>social</w:t>
      </w:r>
      <w:r w:rsidRPr="004B5968">
        <w:rPr>
          <w:rFonts w:ascii="Times New Roman" w:hAnsi="Times New Roman" w:cs="Times New Roman"/>
          <w:color w:val="000000" w:themeColor="text1"/>
          <w:spacing w:val="-2"/>
          <w:sz w:val="24"/>
          <w:szCs w:val="24"/>
        </w:rPr>
        <w:t xml:space="preserve"> </w:t>
      </w:r>
      <w:r w:rsidRPr="004B5968">
        <w:rPr>
          <w:rFonts w:ascii="Times New Roman" w:hAnsi="Times New Roman" w:cs="Times New Roman"/>
          <w:color w:val="000000" w:themeColor="text1"/>
          <w:sz w:val="24"/>
          <w:szCs w:val="24"/>
        </w:rPr>
        <w:t>spending:</w:t>
      </w:r>
      <w:r w:rsidRPr="004B5968">
        <w:rPr>
          <w:rFonts w:ascii="Times New Roman" w:hAnsi="Times New Roman" w:cs="Times New Roman"/>
          <w:color w:val="000000" w:themeColor="text1"/>
          <w:spacing w:val="-1"/>
          <w:sz w:val="24"/>
          <w:szCs w:val="24"/>
        </w:rPr>
        <w:t xml:space="preserve"> </w:t>
      </w:r>
      <w:r w:rsidRPr="004B5968">
        <w:rPr>
          <w:rFonts w:ascii="Times New Roman" w:hAnsi="Times New Roman" w:cs="Times New Roman"/>
          <w:color w:val="000000" w:themeColor="text1"/>
          <w:sz w:val="24"/>
          <w:szCs w:val="24"/>
        </w:rPr>
        <w:t>USD</w:t>
      </w:r>
      <w:r w:rsidRPr="004B5968">
        <w:rPr>
          <w:rFonts w:ascii="Times New Roman" w:hAnsi="Times New Roman" w:cs="Times New Roman"/>
          <w:color w:val="000000" w:themeColor="text1"/>
          <w:spacing w:val="-3"/>
          <w:sz w:val="24"/>
          <w:szCs w:val="24"/>
        </w:rPr>
        <w:t xml:space="preserve"> </w:t>
      </w:r>
      <w:r w:rsidRPr="004B5968">
        <w:rPr>
          <w:rFonts w:ascii="Times New Roman" w:hAnsi="Times New Roman" w:cs="Times New Roman"/>
          <w:color w:val="000000" w:themeColor="text1"/>
          <w:sz w:val="24"/>
          <w:szCs w:val="24"/>
        </w:rPr>
        <w:t>11,908,679</w:t>
      </w:r>
      <w:r w:rsidRPr="004B5968">
        <w:rPr>
          <w:rFonts w:ascii="Times New Roman" w:hAnsi="Times New Roman" w:cs="Times New Roman"/>
          <w:color w:val="000000" w:themeColor="text1"/>
          <w:sz w:val="24"/>
          <w:szCs w:val="24"/>
          <w:lang w:val="en-LR" w:eastAsia="en-LR"/>
        </w:rPr>
        <w:t xml:space="preserve"> </w:t>
      </w:r>
      <w:r w:rsidRPr="004B5968">
        <w:rPr>
          <w:rFonts w:ascii="Times New Roman" w:hAnsi="Times New Roman" w:cs="Times New Roman"/>
          <w:color w:val="000000" w:themeColor="text1"/>
          <w:spacing w:val="-1"/>
          <w:sz w:val="24"/>
          <w:szCs w:val="24"/>
        </w:rPr>
        <w:t>million</w:t>
      </w:r>
    </w:p>
    <w:p w14:paraId="6C4F20EE" w14:textId="77777777" w:rsidR="004B5968" w:rsidRPr="004B5968" w:rsidRDefault="004B5968" w:rsidP="004B5968">
      <w:pPr>
        <w:pStyle w:val="ListParagraph"/>
        <w:widowControl w:val="0"/>
        <w:numPr>
          <w:ilvl w:val="0"/>
          <w:numId w:val="29"/>
        </w:numPr>
        <w:tabs>
          <w:tab w:val="left" w:pos="1280"/>
          <w:tab w:val="left" w:pos="1281"/>
        </w:tabs>
        <w:autoSpaceDE w:val="0"/>
        <w:autoSpaceDN w:val="0"/>
        <w:spacing w:after="0" w:line="293" w:lineRule="exact"/>
        <w:ind w:hanging="361"/>
        <w:contextualSpacing w:val="0"/>
        <w:jc w:val="both"/>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Voluntary</w:t>
      </w:r>
      <w:r w:rsidRPr="004B5968">
        <w:rPr>
          <w:rFonts w:ascii="Times New Roman" w:hAnsi="Times New Roman" w:cs="Times New Roman"/>
          <w:color w:val="000000" w:themeColor="text1"/>
          <w:spacing w:val="-10"/>
          <w:sz w:val="24"/>
          <w:szCs w:val="24"/>
        </w:rPr>
        <w:t xml:space="preserve"> </w:t>
      </w:r>
      <w:r w:rsidRPr="004B5968">
        <w:rPr>
          <w:rFonts w:ascii="Times New Roman" w:hAnsi="Times New Roman" w:cs="Times New Roman"/>
          <w:color w:val="000000" w:themeColor="text1"/>
          <w:sz w:val="24"/>
          <w:szCs w:val="24"/>
        </w:rPr>
        <w:t>social</w:t>
      </w:r>
      <w:r w:rsidRPr="004B5968">
        <w:rPr>
          <w:rFonts w:ascii="Times New Roman" w:hAnsi="Times New Roman" w:cs="Times New Roman"/>
          <w:color w:val="000000" w:themeColor="text1"/>
          <w:spacing w:val="-8"/>
          <w:sz w:val="24"/>
          <w:szCs w:val="24"/>
        </w:rPr>
        <w:t xml:space="preserve"> </w:t>
      </w:r>
      <w:r w:rsidRPr="004B5968">
        <w:rPr>
          <w:rFonts w:ascii="Times New Roman" w:hAnsi="Times New Roman" w:cs="Times New Roman"/>
          <w:color w:val="000000" w:themeColor="text1"/>
          <w:sz w:val="24"/>
          <w:szCs w:val="24"/>
        </w:rPr>
        <w:t>spending:</w:t>
      </w:r>
      <w:r w:rsidRPr="004B5968">
        <w:rPr>
          <w:rFonts w:ascii="Times New Roman" w:hAnsi="Times New Roman" w:cs="Times New Roman"/>
          <w:color w:val="000000" w:themeColor="text1"/>
          <w:spacing w:val="-8"/>
          <w:sz w:val="24"/>
          <w:szCs w:val="24"/>
        </w:rPr>
        <w:t xml:space="preserve"> </w:t>
      </w:r>
      <w:r w:rsidRPr="004B5968">
        <w:rPr>
          <w:rFonts w:ascii="Times New Roman" w:hAnsi="Times New Roman" w:cs="Times New Roman"/>
          <w:color w:val="000000" w:themeColor="text1"/>
          <w:sz w:val="24"/>
          <w:szCs w:val="24"/>
        </w:rPr>
        <w:t>USD</w:t>
      </w:r>
      <w:r w:rsidRPr="004B5968">
        <w:rPr>
          <w:rFonts w:ascii="Times New Roman" w:hAnsi="Times New Roman" w:cs="Times New Roman"/>
          <w:color w:val="000000" w:themeColor="text1"/>
          <w:spacing w:val="-9"/>
          <w:sz w:val="24"/>
          <w:szCs w:val="24"/>
        </w:rPr>
        <w:t xml:space="preserve"> </w:t>
      </w:r>
      <w:r w:rsidRPr="004B5968">
        <w:rPr>
          <w:rFonts w:ascii="Times New Roman" w:hAnsi="Times New Roman" w:cs="Times New Roman"/>
          <w:color w:val="000000" w:themeColor="text1"/>
          <w:sz w:val="24"/>
          <w:szCs w:val="24"/>
        </w:rPr>
        <w:t>11,225,349</w:t>
      </w:r>
      <w:r w:rsidRPr="004B5968">
        <w:rPr>
          <w:rFonts w:ascii="Times New Roman" w:hAnsi="Times New Roman" w:cs="Times New Roman"/>
          <w:color w:val="000000" w:themeColor="text1"/>
          <w:sz w:val="24"/>
          <w:szCs w:val="24"/>
          <w:lang w:val="en-LR" w:eastAsia="en-LR"/>
        </w:rPr>
        <w:t xml:space="preserve"> </w:t>
      </w:r>
      <w:r w:rsidRPr="004B5968">
        <w:rPr>
          <w:rFonts w:ascii="Times New Roman" w:hAnsi="Times New Roman" w:cs="Times New Roman"/>
          <w:color w:val="000000" w:themeColor="text1"/>
          <w:spacing w:val="-7"/>
          <w:sz w:val="24"/>
          <w:szCs w:val="24"/>
        </w:rPr>
        <w:t>million</w:t>
      </w:r>
    </w:p>
    <w:p w14:paraId="098B309D" w14:textId="2E2CFD0F" w:rsidR="004B5968" w:rsidRPr="004B5968" w:rsidRDefault="004B5968" w:rsidP="004B5968">
      <w:pPr>
        <w:pStyle w:val="ListParagraph"/>
        <w:widowControl w:val="0"/>
        <w:numPr>
          <w:ilvl w:val="0"/>
          <w:numId w:val="29"/>
        </w:numPr>
        <w:tabs>
          <w:tab w:val="left" w:pos="1280"/>
          <w:tab w:val="left" w:pos="1281"/>
        </w:tabs>
        <w:autoSpaceDE w:val="0"/>
        <w:autoSpaceDN w:val="0"/>
        <w:spacing w:after="0" w:line="240" w:lineRule="auto"/>
        <w:ind w:right="917" w:hanging="361"/>
        <w:contextualSpacing w:val="0"/>
        <w:jc w:val="both"/>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Environmental</w:t>
      </w:r>
      <w:r w:rsidRPr="004B5968">
        <w:rPr>
          <w:rFonts w:ascii="Times New Roman" w:hAnsi="Times New Roman" w:cs="Times New Roman"/>
          <w:color w:val="000000" w:themeColor="text1"/>
          <w:spacing w:val="-14"/>
          <w:sz w:val="24"/>
          <w:szCs w:val="24"/>
        </w:rPr>
        <w:t xml:space="preserve"> </w:t>
      </w:r>
      <w:r w:rsidRPr="004B5968">
        <w:rPr>
          <w:rFonts w:ascii="Times New Roman" w:hAnsi="Times New Roman" w:cs="Times New Roman"/>
          <w:color w:val="000000" w:themeColor="text1"/>
          <w:sz w:val="24"/>
          <w:szCs w:val="24"/>
        </w:rPr>
        <w:t>expenditures:</w:t>
      </w:r>
      <w:r w:rsidRPr="004B5968">
        <w:rPr>
          <w:rFonts w:ascii="Times New Roman" w:hAnsi="Times New Roman" w:cs="Times New Roman"/>
          <w:color w:val="000000" w:themeColor="text1"/>
          <w:spacing w:val="-13"/>
          <w:sz w:val="24"/>
          <w:szCs w:val="24"/>
        </w:rPr>
        <w:t xml:space="preserve"> </w:t>
      </w:r>
      <w:r w:rsidRPr="004B5968">
        <w:rPr>
          <w:rFonts w:ascii="Times New Roman" w:hAnsi="Times New Roman" w:cs="Times New Roman"/>
          <w:color w:val="000000" w:themeColor="text1"/>
          <w:sz w:val="24"/>
          <w:szCs w:val="24"/>
        </w:rPr>
        <w:t>USD</w:t>
      </w:r>
      <w:r w:rsidRPr="004B5968">
        <w:rPr>
          <w:rFonts w:ascii="Times New Roman" w:hAnsi="Times New Roman" w:cs="Times New Roman"/>
          <w:color w:val="000000" w:themeColor="text1"/>
          <w:spacing w:val="-14"/>
          <w:sz w:val="24"/>
          <w:szCs w:val="24"/>
        </w:rPr>
        <w:t xml:space="preserve"> </w:t>
      </w:r>
      <w:r w:rsidRPr="004B5968">
        <w:rPr>
          <w:rFonts w:ascii="Times New Roman" w:hAnsi="Times New Roman" w:cs="Times New Roman"/>
          <w:color w:val="000000" w:themeColor="text1"/>
          <w:sz w:val="24"/>
          <w:szCs w:val="24"/>
        </w:rPr>
        <w:t>1,079,296 million</w:t>
      </w:r>
      <w:r w:rsidRPr="004B5968">
        <w:rPr>
          <w:rFonts w:ascii="Times New Roman" w:hAnsi="Times New Roman" w:cs="Times New Roman"/>
          <w:color w:val="000000" w:themeColor="text1"/>
          <w:spacing w:val="-14"/>
          <w:sz w:val="24"/>
          <w:szCs w:val="24"/>
        </w:rPr>
        <w:t xml:space="preserve"> </w:t>
      </w:r>
    </w:p>
    <w:p w14:paraId="2D3A20FE"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b/>
          <w:bCs/>
          <w:sz w:val="24"/>
          <w:szCs w:val="24"/>
          <w:lang w:val="en-LR" w:eastAsia="en-LR"/>
        </w:rPr>
      </w:pPr>
      <w:r w:rsidRPr="00B64E68">
        <w:rPr>
          <w:rFonts w:ascii="Times New Roman" w:eastAsia="Times New Roman" w:hAnsi="Times New Roman" w:cs="Times New Roman"/>
          <w:b/>
          <w:bCs/>
          <w:sz w:val="24"/>
          <w:szCs w:val="24"/>
          <w:lang w:val="en-LR" w:eastAsia="en-LR"/>
        </w:rPr>
        <w:t>Production and Export Overview:</w:t>
      </w:r>
    </w:p>
    <w:p w14:paraId="2A107B0E"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lastRenderedPageBreak/>
        <w:t>Production volumes:</w:t>
      </w:r>
    </w:p>
    <w:p w14:paraId="119FCBE4" w14:textId="77777777" w:rsidR="004B5968" w:rsidRPr="004B5968" w:rsidRDefault="004B5968" w:rsidP="004B5968">
      <w:pPr>
        <w:pStyle w:val="ListParagraph"/>
        <w:widowControl w:val="0"/>
        <w:numPr>
          <w:ilvl w:val="0"/>
          <w:numId w:val="22"/>
        </w:numPr>
        <w:tabs>
          <w:tab w:val="left" w:pos="1340"/>
          <w:tab w:val="left" w:pos="1341"/>
        </w:tabs>
        <w:autoSpaceDE w:val="0"/>
        <w:autoSpaceDN w:val="0"/>
        <w:spacing w:after="0" w:line="240" w:lineRule="auto"/>
        <w:jc w:val="both"/>
        <w:rPr>
          <w:rFonts w:ascii="Times New Roman" w:hAnsi="Times New Roman" w:cs="Times New Roman"/>
          <w:color w:val="000000" w:themeColor="text1"/>
          <w:sz w:val="24"/>
          <w:szCs w:val="24"/>
        </w:rPr>
      </w:pPr>
      <w:r w:rsidRPr="004B5968">
        <w:rPr>
          <w:rFonts w:ascii="Times New Roman" w:hAnsi="Times New Roman" w:cs="Times New Roman"/>
          <w:b/>
          <w:color w:val="000000" w:themeColor="text1"/>
          <w:sz w:val="24"/>
          <w:szCs w:val="24"/>
        </w:rPr>
        <w:t>Gold</w:t>
      </w:r>
      <w:r w:rsidRPr="004B5968">
        <w:rPr>
          <w:rFonts w:ascii="Times New Roman" w:hAnsi="Times New Roman" w:cs="Times New Roman"/>
          <w:color w:val="000000" w:themeColor="text1"/>
          <w:sz w:val="24"/>
          <w:szCs w:val="24"/>
        </w:rPr>
        <w:t xml:space="preserve">: 12,146 </w:t>
      </w:r>
      <w:r w:rsidRPr="004B5968">
        <w:rPr>
          <w:rFonts w:ascii="Times New Roman" w:hAnsi="Times New Roman" w:cs="Times New Roman"/>
          <w:color w:val="000000" w:themeColor="text1"/>
          <w:spacing w:val="-2"/>
          <w:sz w:val="24"/>
          <w:szCs w:val="24"/>
        </w:rPr>
        <w:t>kilograms</w:t>
      </w:r>
    </w:p>
    <w:p w14:paraId="3A5D9969" w14:textId="77777777" w:rsidR="004B5968" w:rsidRPr="004B5968" w:rsidRDefault="004B5968" w:rsidP="004B5968">
      <w:pPr>
        <w:pStyle w:val="ListParagraph"/>
        <w:widowControl w:val="0"/>
        <w:numPr>
          <w:ilvl w:val="0"/>
          <w:numId w:val="22"/>
        </w:numPr>
        <w:tabs>
          <w:tab w:val="left" w:pos="1280"/>
          <w:tab w:val="left" w:pos="1281"/>
        </w:tabs>
        <w:autoSpaceDE w:val="0"/>
        <w:autoSpaceDN w:val="0"/>
        <w:spacing w:after="0" w:line="240" w:lineRule="auto"/>
        <w:jc w:val="both"/>
        <w:rPr>
          <w:rFonts w:ascii="Times New Roman" w:hAnsi="Times New Roman" w:cs="Times New Roman"/>
          <w:color w:val="000000" w:themeColor="text1"/>
          <w:sz w:val="24"/>
          <w:szCs w:val="24"/>
        </w:rPr>
      </w:pPr>
      <w:r w:rsidRPr="004B5968">
        <w:rPr>
          <w:rFonts w:ascii="Times New Roman" w:hAnsi="Times New Roman" w:cs="Times New Roman"/>
          <w:b/>
          <w:color w:val="000000" w:themeColor="text1"/>
          <w:sz w:val="24"/>
          <w:szCs w:val="24"/>
        </w:rPr>
        <w:t>Iron</w:t>
      </w:r>
      <w:r w:rsidRPr="004B5968">
        <w:rPr>
          <w:rFonts w:ascii="Times New Roman" w:hAnsi="Times New Roman" w:cs="Times New Roman"/>
          <w:b/>
          <w:color w:val="000000" w:themeColor="text1"/>
          <w:spacing w:val="-4"/>
          <w:sz w:val="24"/>
          <w:szCs w:val="24"/>
        </w:rPr>
        <w:t xml:space="preserve"> </w:t>
      </w:r>
      <w:r w:rsidRPr="004B5968">
        <w:rPr>
          <w:rFonts w:ascii="Times New Roman" w:hAnsi="Times New Roman" w:cs="Times New Roman"/>
          <w:b/>
          <w:color w:val="000000" w:themeColor="text1"/>
          <w:sz w:val="24"/>
          <w:szCs w:val="24"/>
        </w:rPr>
        <w:t>Ore</w:t>
      </w:r>
      <w:r w:rsidRPr="004B5968">
        <w:rPr>
          <w:rFonts w:ascii="Times New Roman" w:hAnsi="Times New Roman" w:cs="Times New Roman"/>
          <w:color w:val="000000" w:themeColor="text1"/>
          <w:sz w:val="24"/>
          <w:szCs w:val="24"/>
        </w:rPr>
        <w:t>:</w:t>
      </w:r>
      <w:r w:rsidRPr="004B5968">
        <w:rPr>
          <w:rFonts w:ascii="Times New Roman" w:hAnsi="Times New Roman" w:cs="Times New Roman"/>
          <w:color w:val="000000" w:themeColor="text1"/>
          <w:spacing w:val="-3"/>
          <w:sz w:val="24"/>
          <w:szCs w:val="24"/>
        </w:rPr>
        <w:t xml:space="preserve"> </w:t>
      </w:r>
      <w:r w:rsidRPr="004B5968">
        <w:rPr>
          <w:rFonts w:ascii="Times New Roman" w:hAnsi="Times New Roman" w:cs="Times New Roman"/>
          <w:color w:val="000000" w:themeColor="text1"/>
          <w:sz w:val="24"/>
          <w:szCs w:val="24"/>
          <w:lang w:eastAsia="en-LR"/>
        </w:rPr>
        <w:t>4</w:t>
      </w:r>
      <w:r w:rsidRPr="004B5968">
        <w:rPr>
          <w:rFonts w:ascii="Times New Roman" w:hAnsi="Times New Roman" w:cs="Times New Roman"/>
          <w:color w:val="000000" w:themeColor="text1"/>
          <w:sz w:val="24"/>
          <w:szCs w:val="24"/>
          <w:lang w:val="en-LR" w:eastAsia="en-LR"/>
        </w:rPr>
        <w:t>,</w:t>
      </w:r>
      <w:r w:rsidRPr="004B5968">
        <w:rPr>
          <w:rFonts w:ascii="Times New Roman" w:hAnsi="Times New Roman" w:cs="Times New Roman"/>
          <w:color w:val="000000" w:themeColor="text1"/>
          <w:sz w:val="24"/>
          <w:szCs w:val="24"/>
          <w:lang w:eastAsia="en-LR"/>
        </w:rPr>
        <w:t>002</w:t>
      </w:r>
      <w:r w:rsidRPr="004B5968">
        <w:rPr>
          <w:rFonts w:ascii="Times New Roman" w:hAnsi="Times New Roman" w:cs="Times New Roman"/>
          <w:color w:val="000000" w:themeColor="text1"/>
          <w:sz w:val="24"/>
          <w:szCs w:val="24"/>
          <w:lang w:val="en-LR" w:eastAsia="en-LR"/>
        </w:rPr>
        <w:t>,</w:t>
      </w:r>
      <w:r w:rsidRPr="004B5968">
        <w:rPr>
          <w:rFonts w:ascii="Times New Roman" w:hAnsi="Times New Roman" w:cs="Times New Roman"/>
          <w:color w:val="000000" w:themeColor="text1"/>
          <w:sz w:val="24"/>
          <w:szCs w:val="24"/>
          <w:lang w:eastAsia="en-LR"/>
        </w:rPr>
        <w:t>474</w:t>
      </w:r>
      <w:r w:rsidRPr="004B5968">
        <w:rPr>
          <w:rFonts w:ascii="Times New Roman" w:hAnsi="Times New Roman" w:cs="Times New Roman"/>
          <w:color w:val="000000" w:themeColor="text1"/>
          <w:sz w:val="24"/>
          <w:szCs w:val="24"/>
          <w:lang w:val="en-LR" w:eastAsia="en-LR"/>
        </w:rPr>
        <w:t xml:space="preserve"> </w:t>
      </w:r>
      <w:r w:rsidRPr="004B5968">
        <w:rPr>
          <w:rFonts w:ascii="Times New Roman" w:hAnsi="Times New Roman" w:cs="Times New Roman"/>
          <w:color w:val="000000" w:themeColor="text1"/>
          <w:sz w:val="24"/>
          <w:szCs w:val="24"/>
        </w:rPr>
        <w:t>metric</w:t>
      </w:r>
      <w:r w:rsidRPr="004B5968">
        <w:rPr>
          <w:rFonts w:ascii="Times New Roman" w:hAnsi="Times New Roman" w:cs="Times New Roman"/>
          <w:color w:val="000000" w:themeColor="text1"/>
          <w:spacing w:val="-4"/>
          <w:sz w:val="24"/>
          <w:szCs w:val="24"/>
        </w:rPr>
        <w:t xml:space="preserve"> tons</w:t>
      </w:r>
    </w:p>
    <w:p w14:paraId="33D311BC" w14:textId="77777777" w:rsidR="004B5968" w:rsidRPr="004B5968" w:rsidRDefault="004B5968" w:rsidP="004B5968">
      <w:pPr>
        <w:pStyle w:val="ListParagraph"/>
        <w:widowControl w:val="0"/>
        <w:numPr>
          <w:ilvl w:val="0"/>
          <w:numId w:val="22"/>
        </w:numPr>
        <w:tabs>
          <w:tab w:val="left" w:pos="1280"/>
          <w:tab w:val="left" w:pos="1281"/>
        </w:tabs>
        <w:autoSpaceDE w:val="0"/>
        <w:autoSpaceDN w:val="0"/>
        <w:spacing w:after="0" w:line="240" w:lineRule="auto"/>
        <w:jc w:val="both"/>
        <w:rPr>
          <w:rFonts w:ascii="Times New Roman" w:hAnsi="Times New Roman" w:cs="Times New Roman"/>
          <w:color w:val="000000" w:themeColor="text1"/>
          <w:sz w:val="24"/>
          <w:szCs w:val="24"/>
        </w:rPr>
      </w:pPr>
      <w:r w:rsidRPr="004B5968">
        <w:rPr>
          <w:rFonts w:ascii="Times New Roman" w:hAnsi="Times New Roman" w:cs="Times New Roman"/>
          <w:b/>
          <w:color w:val="000000" w:themeColor="text1"/>
          <w:sz w:val="24"/>
          <w:szCs w:val="24"/>
        </w:rPr>
        <w:t>Diamonds</w:t>
      </w:r>
      <w:r w:rsidRPr="004B5968">
        <w:rPr>
          <w:rFonts w:ascii="Times New Roman" w:hAnsi="Times New Roman" w:cs="Times New Roman"/>
          <w:color w:val="000000" w:themeColor="text1"/>
          <w:sz w:val="24"/>
          <w:szCs w:val="24"/>
        </w:rPr>
        <w:t>:</w:t>
      </w:r>
      <w:r w:rsidRPr="004B5968">
        <w:rPr>
          <w:rFonts w:ascii="Times New Roman" w:hAnsi="Times New Roman" w:cs="Times New Roman"/>
          <w:color w:val="000000" w:themeColor="text1"/>
          <w:spacing w:val="-2"/>
          <w:sz w:val="24"/>
          <w:szCs w:val="24"/>
        </w:rPr>
        <w:t xml:space="preserve"> </w:t>
      </w:r>
      <w:r w:rsidRPr="004B5968">
        <w:rPr>
          <w:rFonts w:ascii="Times New Roman" w:hAnsi="Times New Roman" w:cs="Times New Roman"/>
          <w:color w:val="000000" w:themeColor="text1"/>
          <w:sz w:val="24"/>
          <w:szCs w:val="24"/>
        </w:rPr>
        <w:t xml:space="preserve">56,838 </w:t>
      </w:r>
      <w:r w:rsidRPr="004B5968">
        <w:rPr>
          <w:rFonts w:ascii="Times New Roman" w:hAnsi="Times New Roman" w:cs="Times New Roman"/>
          <w:color w:val="000000" w:themeColor="text1"/>
          <w:spacing w:val="-2"/>
          <w:sz w:val="24"/>
          <w:szCs w:val="24"/>
        </w:rPr>
        <w:t>carats</w:t>
      </w:r>
    </w:p>
    <w:p w14:paraId="435C22CD" w14:textId="77777777" w:rsidR="004B5968" w:rsidRPr="004B5968" w:rsidRDefault="004B5968" w:rsidP="004B5968">
      <w:pPr>
        <w:pStyle w:val="ListParagraph"/>
        <w:widowControl w:val="0"/>
        <w:numPr>
          <w:ilvl w:val="0"/>
          <w:numId w:val="22"/>
        </w:numPr>
        <w:tabs>
          <w:tab w:val="left" w:pos="1280"/>
          <w:tab w:val="left" w:pos="1281"/>
        </w:tabs>
        <w:autoSpaceDE w:val="0"/>
        <w:autoSpaceDN w:val="0"/>
        <w:spacing w:after="0" w:line="240" w:lineRule="auto"/>
        <w:jc w:val="both"/>
        <w:rPr>
          <w:rFonts w:ascii="Times New Roman" w:hAnsi="Times New Roman" w:cs="Times New Roman"/>
          <w:color w:val="000000" w:themeColor="text1"/>
          <w:sz w:val="24"/>
          <w:szCs w:val="24"/>
        </w:rPr>
      </w:pPr>
      <w:r w:rsidRPr="004B5968">
        <w:rPr>
          <w:rFonts w:ascii="Times New Roman" w:hAnsi="Times New Roman" w:cs="Times New Roman"/>
          <w:b/>
          <w:color w:val="000000" w:themeColor="text1"/>
          <w:sz w:val="24"/>
          <w:szCs w:val="24"/>
        </w:rPr>
        <w:t>Round</w:t>
      </w:r>
      <w:r w:rsidRPr="004B5968">
        <w:rPr>
          <w:rFonts w:ascii="Times New Roman" w:hAnsi="Times New Roman" w:cs="Times New Roman"/>
          <w:b/>
          <w:color w:val="000000" w:themeColor="text1"/>
          <w:spacing w:val="-2"/>
          <w:sz w:val="24"/>
          <w:szCs w:val="24"/>
        </w:rPr>
        <w:t xml:space="preserve"> </w:t>
      </w:r>
      <w:r w:rsidRPr="004B5968">
        <w:rPr>
          <w:rFonts w:ascii="Times New Roman" w:hAnsi="Times New Roman" w:cs="Times New Roman"/>
          <w:b/>
          <w:color w:val="000000" w:themeColor="text1"/>
          <w:sz w:val="24"/>
          <w:szCs w:val="24"/>
        </w:rPr>
        <w:t>Logs</w:t>
      </w:r>
      <w:r w:rsidRPr="004B5968">
        <w:rPr>
          <w:rFonts w:ascii="Times New Roman" w:hAnsi="Times New Roman" w:cs="Times New Roman"/>
          <w:color w:val="000000" w:themeColor="text1"/>
          <w:sz w:val="24"/>
          <w:szCs w:val="24"/>
        </w:rPr>
        <w:t>:</w:t>
      </w:r>
      <w:r w:rsidRPr="004B5968">
        <w:rPr>
          <w:rFonts w:ascii="Times New Roman" w:hAnsi="Times New Roman" w:cs="Times New Roman"/>
          <w:color w:val="000000" w:themeColor="text1"/>
          <w:spacing w:val="-1"/>
          <w:sz w:val="24"/>
          <w:szCs w:val="24"/>
        </w:rPr>
        <w:t xml:space="preserve"> </w:t>
      </w:r>
      <w:r w:rsidRPr="004B5968">
        <w:rPr>
          <w:rFonts w:ascii="Times New Roman" w:hAnsi="Times New Roman" w:cs="Times New Roman"/>
          <w:color w:val="000000" w:themeColor="text1"/>
          <w:sz w:val="24"/>
          <w:szCs w:val="24"/>
          <w:lang w:val="en-LR" w:eastAsia="en-LR"/>
        </w:rPr>
        <w:t>2</w:t>
      </w:r>
      <w:r w:rsidRPr="004B5968">
        <w:rPr>
          <w:rFonts w:ascii="Times New Roman" w:hAnsi="Times New Roman" w:cs="Times New Roman"/>
          <w:color w:val="000000" w:themeColor="text1"/>
          <w:sz w:val="24"/>
          <w:szCs w:val="24"/>
          <w:lang w:eastAsia="en-LR"/>
        </w:rPr>
        <w:t>32</w:t>
      </w:r>
      <w:r w:rsidRPr="004B5968">
        <w:rPr>
          <w:rFonts w:ascii="Times New Roman" w:hAnsi="Times New Roman" w:cs="Times New Roman"/>
          <w:color w:val="000000" w:themeColor="text1"/>
          <w:sz w:val="24"/>
          <w:szCs w:val="24"/>
          <w:lang w:val="en-LR" w:eastAsia="en-LR"/>
        </w:rPr>
        <w:t>,</w:t>
      </w:r>
      <w:r w:rsidRPr="004B5968">
        <w:rPr>
          <w:rFonts w:ascii="Times New Roman" w:hAnsi="Times New Roman" w:cs="Times New Roman"/>
          <w:color w:val="000000" w:themeColor="text1"/>
          <w:sz w:val="24"/>
          <w:szCs w:val="24"/>
          <w:lang w:eastAsia="en-LR"/>
        </w:rPr>
        <w:t>000</w:t>
      </w:r>
      <w:r w:rsidRPr="004B5968">
        <w:rPr>
          <w:rFonts w:ascii="Times New Roman" w:hAnsi="Times New Roman" w:cs="Times New Roman"/>
          <w:color w:val="000000" w:themeColor="text1"/>
          <w:sz w:val="24"/>
          <w:szCs w:val="24"/>
          <w:lang w:val="en-LR" w:eastAsia="en-LR"/>
        </w:rPr>
        <w:t xml:space="preserve"> </w:t>
      </w:r>
      <w:r w:rsidRPr="004B5968">
        <w:rPr>
          <w:rFonts w:ascii="Times New Roman" w:hAnsi="Times New Roman" w:cs="Times New Roman"/>
          <w:color w:val="000000" w:themeColor="text1"/>
          <w:sz w:val="24"/>
          <w:szCs w:val="24"/>
        </w:rPr>
        <w:t>cubic</w:t>
      </w:r>
      <w:r w:rsidRPr="004B5968">
        <w:rPr>
          <w:rFonts w:ascii="Times New Roman" w:hAnsi="Times New Roman" w:cs="Times New Roman"/>
          <w:color w:val="000000" w:themeColor="text1"/>
          <w:spacing w:val="-1"/>
          <w:sz w:val="24"/>
          <w:szCs w:val="24"/>
        </w:rPr>
        <w:t xml:space="preserve"> </w:t>
      </w:r>
      <w:r w:rsidRPr="004B5968">
        <w:rPr>
          <w:rFonts w:ascii="Times New Roman" w:hAnsi="Times New Roman" w:cs="Times New Roman"/>
          <w:color w:val="000000" w:themeColor="text1"/>
          <w:spacing w:val="-2"/>
          <w:sz w:val="24"/>
          <w:szCs w:val="24"/>
        </w:rPr>
        <w:t>meters</w:t>
      </w:r>
    </w:p>
    <w:p w14:paraId="40AFF394" w14:textId="77777777" w:rsidR="004B5968" w:rsidRPr="004B5968" w:rsidRDefault="004B5968" w:rsidP="004B5968">
      <w:pPr>
        <w:pStyle w:val="ListParagraph"/>
        <w:widowControl w:val="0"/>
        <w:numPr>
          <w:ilvl w:val="0"/>
          <w:numId w:val="22"/>
        </w:numPr>
        <w:tabs>
          <w:tab w:val="left" w:pos="1280"/>
          <w:tab w:val="left" w:pos="1281"/>
        </w:tabs>
        <w:autoSpaceDE w:val="0"/>
        <w:autoSpaceDN w:val="0"/>
        <w:spacing w:after="0" w:line="240" w:lineRule="auto"/>
        <w:jc w:val="both"/>
        <w:rPr>
          <w:rFonts w:ascii="Times New Roman" w:hAnsi="Times New Roman" w:cs="Times New Roman"/>
          <w:color w:val="000000" w:themeColor="text1"/>
          <w:sz w:val="24"/>
          <w:szCs w:val="24"/>
        </w:rPr>
      </w:pPr>
      <w:r w:rsidRPr="004B5968">
        <w:rPr>
          <w:rFonts w:ascii="Times New Roman" w:hAnsi="Times New Roman" w:cs="Times New Roman"/>
          <w:b/>
          <w:color w:val="000000" w:themeColor="text1"/>
          <w:sz w:val="24"/>
          <w:szCs w:val="24"/>
        </w:rPr>
        <w:t>Rubber</w:t>
      </w:r>
      <w:r w:rsidRPr="004B5968">
        <w:rPr>
          <w:rFonts w:ascii="Times New Roman" w:hAnsi="Times New Roman" w:cs="Times New Roman"/>
          <w:color w:val="000000" w:themeColor="text1"/>
          <w:sz w:val="24"/>
          <w:szCs w:val="24"/>
        </w:rPr>
        <w:t>:</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z w:val="24"/>
          <w:szCs w:val="24"/>
        </w:rPr>
        <w:t>77,055</w:t>
      </w:r>
      <w:r w:rsidRPr="004B5968">
        <w:rPr>
          <w:rFonts w:ascii="Times New Roman" w:hAnsi="Times New Roman" w:cs="Times New Roman"/>
          <w:color w:val="000000" w:themeColor="text1"/>
          <w:spacing w:val="-1"/>
          <w:sz w:val="24"/>
          <w:szCs w:val="24"/>
        </w:rPr>
        <w:t xml:space="preserve"> </w:t>
      </w:r>
      <w:r w:rsidRPr="004B5968">
        <w:rPr>
          <w:rFonts w:ascii="Times New Roman" w:hAnsi="Times New Roman" w:cs="Times New Roman"/>
          <w:color w:val="000000" w:themeColor="text1"/>
          <w:spacing w:val="-4"/>
          <w:sz w:val="24"/>
          <w:szCs w:val="24"/>
        </w:rPr>
        <w:t>tons</w:t>
      </w:r>
    </w:p>
    <w:p w14:paraId="39205E31" w14:textId="77777777" w:rsidR="004B5968" w:rsidRPr="004B5968" w:rsidRDefault="004B5968" w:rsidP="004B5968">
      <w:pPr>
        <w:pStyle w:val="ListParagraph"/>
        <w:widowControl w:val="0"/>
        <w:numPr>
          <w:ilvl w:val="0"/>
          <w:numId w:val="22"/>
        </w:numPr>
        <w:tabs>
          <w:tab w:val="left" w:pos="1280"/>
          <w:tab w:val="left" w:pos="1281"/>
        </w:tabs>
        <w:autoSpaceDE w:val="0"/>
        <w:autoSpaceDN w:val="0"/>
        <w:spacing w:after="0" w:line="240" w:lineRule="auto"/>
        <w:jc w:val="both"/>
        <w:rPr>
          <w:rFonts w:ascii="Times New Roman" w:hAnsi="Times New Roman" w:cs="Times New Roman"/>
          <w:color w:val="000000" w:themeColor="text1"/>
          <w:sz w:val="24"/>
          <w:szCs w:val="24"/>
        </w:rPr>
      </w:pPr>
      <w:r w:rsidRPr="004B5968">
        <w:rPr>
          <w:rFonts w:ascii="Times New Roman" w:hAnsi="Times New Roman" w:cs="Times New Roman"/>
          <w:b/>
          <w:color w:val="000000" w:themeColor="text1"/>
          <w:sz w:val="24"/>
          <w:szCs w:val="24"/>
        </w:rPr>
        <w:t>Crude</w:t>
      </w:r>
      <w:r w:rsidRPr="004B5968">
        <w:rPr>
          <w:rFonts w:ascii="Times New Roman" w:hAnsi="Times New Roman" w:cs="Times New Roman"/>
          <w:b/>
          <w:color w:val="000000" w:themeColor="text1"/>
          <w:spacing w:val="-2"/>
          <w:sz w:val="24"/>
          <w:szCs w:val="24"/>
        </w:rPr>
        <w:t xml:space="preserve"> </w:t>
      </w:r>
      <w:r w:rsidRPr="004B5968">
        <w:rPr>
          <w:rFonts w:ascii="Times New Roman" w:hAnsi="Times New Roman" w:cs="Times New Roman"/>
          <w:b/>
          <w:color w:val="000000" w:themeColor="text1"/>
          <w:sz w:val="24"/>
          <w:szCs w:val="24"/>
        </w:rPr>
        <w:t>Palm</w:t>
      </w:r>
      <w:r w:rsidRPr="004B5968">
        <w:rPr>
          <w:rFonts w:ascii="Times New Roman" w:hAnsi="Times New Roman" w:cs="Times New Roman"/>
          <w:b/>
          <w:color w:val="000000" w:themeColor="text1"/>
          <w:spacing w:val="-1"/>
          <w:sz w:val="24"/>
          <w:szCs w:val="24"/>
        </w:rPr>
        <w:t xml:space="preserve"> </w:t>
      </w:r>
      <w:r w:rsidRPr="004B5968">
        <w:rPr>
          <w:rFonts w:ascii="Times New Roman" w:hAnsi="Times New Roman" w:cs="Times New Roman"/>
          <w:b/>
          <w:color w:val="000000" w:themeColor="text1"/>
          <w:sz w:val="24"/>
          <w:szCs w:val="24"/>
        </w:rPr>
        <w:t>Oil</w:t>
      </w:r>
      <w:r w:rsidRPr="004B5968">
        <w:rPr>
          <w:rFonts w:ascii="Times New Roman" w:hAnsi="Times New Roman" w:cs="Times New Roman"/>
          <w:color w:val="000000" w:themeColor="text1"/>
          <w:sz w:val="24"/>
          <w:szCs w:val="24"/>
        </w:rPr>
        <w:t xml:space="preserve">: 85,271 </w:t>
      </w:r>
      <w:r w:rsidRPr="004B5968">
        <w:rPr>
          <w:rFonts w:ascii="Times New Roman" w:hAnsi="Times New Roman" w:cs="Times New Roman"/>
          <w:color w:val="000000" w:themeColor="text1"/>
          <w:spacing w:val="-1"/>
          <w:sz w:val="24"/>
          <w:szCs w:val="24"/>
        </w:rPr>
        <w:t xml:space="preserve">metric </w:t>
      </w:r>
      <w:r w:rsidRPr="004B5968">
        <w:rPr>
          <w:rFonts w:ascii="Times New Roman" w:hAnsi="Times New Roman" w:cs="Times New Roman"/>
          <w:color w:val="000000" w:themeColor="text1"/>
          <w:spacing w:val="-4"/>
          <w:sz w:val="24"/>
          <w:szCs w:val="24"/>
        </w:rPr>
        <w:t>tons</w:t>
      </w:r>
    </w:p>
    <w:p w14:paraId="2C1E8F1D" w14:textId="77777777" w:rsidR="00423D65" w:rsidRPr="00B64E68" w:rsidRDefault="00423D65" w:rsidP="00423D65">
      <w:pPr>
        <w:spacing w:before="100" w:beforeAutospacing="1" w:after="100" w:afterAutospacing="1" w:line="240" w:lineRule="auto"/>
        <w:ind w:left="360"/>
        <w:jc w:val="both"/>
        <w:rPr>
          <w:rFonts w:ascii="Times New Roman" w:eastAsia="Times New Roman" w:hAnsi="Times New Roman" w:cs="Times New Roman"/>
          <w:b/>
          <w:bCs/>
          <w:sz w:val="24"/>
          <w:szCs w:val="24"/>
          <w:lang w:val="en-LR" w:eastAsia="en-LR"/>
        </w:rPr>
      </w:pPr>
    </w:p>
    <w:p w14:paraId="2B651531" w14:textId="77777777" w:rsidR="00423D65" w:rsidRPr="00B64E68" w:rsidRDefault="00423D65" w:rsidP="00423D65">
      <w:pPr>
        <w:spacing w:before="100" w:beforeAutospacing="1" w:after="100" w:afterAutospacing="1" w:line="240" w:lineRule="auto"/>
        <w:ind w:left="360"/>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Export Value</w:t>
      </w:r>
    </w:p>
    <w:p w14:paraId="123B66E5" w14:textId="77777777" w:rsidR="004B5968" w:rsidRPr="004B5968" w:rsidRDefault="004B5968" w:rsidP="004B5968">
      <w:pPr>
        <w:spacing w:before="1"/>
        <w:ind w:left="10"/>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Total</w:t>
      </w:r>
      <w:r w:rsidRPr="004B5968">
        <w:rPr>
          <w:rFonts w:ascii="Times New Roman" w:hAnsi="Times New Roman" w:cs="Times New Roman"/>
          <w:color w:val="000000" w:themeColor="text1"/>
          <w:spacing w:val="-7"/>
          <w:sz w:val="24"/>
          <w:szCs w:val="24"/>
        </w:rPr>
        <w:t xml:space="preserve"> </w:t>
      </w:r>
      <w:r w:rsidRPr="004B5968">
        <w:rPr>
          <w:rFonts w:ascii="Times New Roman" w:hAnsi="Times New Roman" w:cs="Times New Roman"/>
          <w:color w:val="000000" w:themeColor="text1"/>
          <w:sz w:val="24"/>
          <w:szCs w:val="24"/>
        </w:rPr>
        <w:t>export</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z w:val="24"/>
          <w:szCs w:val="24"/>
        </w:rPr>
        <w:t>value:</w:t>
      </w:r>
      <w:r w:rsidRPr="004B5968">
        <w:rPr>
          <w:rFonts w:ascii="Times New Roman" w:hAnsi="Times New Roman" w:cs="Times New Roman"/>
          <w:color w:val="000000" w:themeColor="text1"/>
          <w:spacing w:val="-5"/>
          <w:sz w:val="24"/>
          <w:szCs w:val="24"/>
        </w:rPr>
        <w:t xml:space="preserve"> </w:t>
      </w:r>
      <w:r w:rsidRPr="004B5968">
        <w:rPr>
          <w:rFonts w:ascii="Times New Roman" w:hAnsi="Times New Roman" w:cs="Times New Roman"/>
          <w:b/>
          <w:color w:val="000000" w:themeColor="text1"/>
          <w:sz w:val="24"/>
          <w:szCs w:val="24"/>
        </w:rPr>
        <w:t>USD</w:t>
      </w:r>
      <w:r w:rsidRPr="004B5968">
        <w:rPr>
          <w:rFonts w:ascii="Times New Roman" w:hAnsi="Times New Roman" w:cs="Times New Roman"/>
          <w:b/>
          <w:color w:val="000000" w:themeColor="text1"/>
          <w:spacing w:val="-3"/>
          <w:sz w:val="24"/>
          <w:szCs w:val="24"/>
        </w:rPr>
        <w:t xml:space="preserve"> </w:t>
      </w:r>
      <w:r w:rsidRPr="004B5968">
        <w:rPr>
          <w:rFonts w:ascii="Times New Roman" w:hAnsi="Times New Roman" w:cs="Times New Roman"/>
          <w:color w:val="000000" w:themeColor="text1"/>
          <w:sz w:val="24"/>
          <w:szCs w:val="24"/>
        </w:rPr>
        <w:t>1.352</w:t>
      </w:r>
      <w:r w:rsidRPr="004B5968">
        <w:rPr>
          <w:rFonts w:ascii="Times New Roman" w:hAnsi="Times New Roman" w:cs="Times New Roman"/>
          <w:b/>
          <w:bCs/>
          <w:color w:val="000000" w:themeColor="text1"/>
          <w:sz w:val="24"/>
          <w:szCs w:val="24"/>
          <w:lang w:val="en-LR" w:eastAsia="en-LR"/>
        </w:rPr>
        <w:t xml:space="preserve"> </w:t>
      </w:r>
      <w:r w:rsidRPr="004B5968">
        <w:rPr>
          <w:rFonts w:ascii="Times New Roman" w:hAnsi="Times New Roman" w:cs="Times New Roman"/>
          <w:b/>
          <w:color w:val="000000" w:themeColor="text1"/>
          <w:sz w:val="24"/>
          <w:szCs w:val="24"/>
        </w:rPr>
        <w:t>billion</w:t>
      </w:r>
      <w:r w:rsidRPr="004B5968">
        <w:rPr>
          <w:rFonts w:ascii="Times New Roman" w:hAnsi="Times New Roman" w:cs="Times New Roman"/>
          <w:b/>
          <w:color w:val="000000" w:themeColor="text1"/>
          <w:spacing w:val="-2"/>
          <w:sz w:val="24"/>
          <w:szCs w:val="24"/>
        </w:rPr>
        <w:t xml:space="preserve"> </w:t>
      </w:r>
      <w:r w:rsidRPr="004B5968">
        <w:rPr>
          <w:rFonts w:ascii="Times New Roman" w:hAnsi="Times New Roman" w:cs="Times New Roman"/>
          <w:color w:val="000000" w:themeColor="text1"/>
          <w:sz w:val="24"/>
          <w:szCs w:val="24"/>
        </w:rPr>
        <w:t>(99.23%</w:t>
      </w:r>
      <w:r w:rsidRPr="004B5968">
        <w:rPr>
          <w:rFonts w:ascii="Times New Roman" w:hAnsi="Times New Roman" w:cs="Times New Roman"/>
          <w:color w:val="000000" w:themeColor="text1"/>
          <w:spacing w:val="-6"/>
          <w:sz w:val="24"/>
          <w:szCs w:val="24"/>
        </w:rPr>
        <w:t xml:space="preserve"> </w:t>
      </w:r>
      <w:r w:rsidRPr="004B5968">
        <w:rPr>
          <w:rFonts w:ascii="Times New Roman" w:hAnsi="Times New Roman" w:cs="Times New Roman"/>
          <w:color w:val="000000" w:themeColor="text1"/>
          <w:sz w:val="24"/>
          <w:szCs w:val="24"/>
        </w:rPr>
        <w:t>of</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z w:val="24"/>
          <w:szCs w:val="24"/>
        </w:rPr>
        <w:t>Liberia’s</w:t>
      </w:r>
      <w:r w:rsidRPr="004B5968">
        <w:rPr>
          <w:rFonts w:ascii="Times New Roman" w:hAnsi="Times New Roman" w:cs="Times New Roman"/>
          <w:color w:val="000000" w:themeColor="text1"/>
          <w:spacing w:val="-5"/>
          <w:sz w:val="24"/>
          <w:szCs w:val="24"/>
        </w:rPr>
        <w:t xml:space="preserve"> </w:t>
      </w:r>
      <w:r w:rsidRPr="004B5968">
        <w:rPr>
          <w:rFonts w:ascii="Times New Roman" w:hAnsi="Times New Roman" w:cs="Times New Roman"/>
          <w:color w:val="000000" w:themeColor="text1"/>
          <w:sz w:val="24"/>
          <w:szCs w:val="24"/>
        </w:rPr>
        <w:t>total</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pacing w:val="-2"/>
          <w:sz w:val="24"/>
          <w:szCs w:val="24"/>
        </w:rPr>
        <w:t>exports)</w:t>
      </w:r>
    </w:p>
    <w:p w14:paraId="0BE71F2F" w14:textId="77777777" w:rsidR="004B5968" w:rsidRPr="004B5968" w:rsidRDefault="004B5968" w:rsidP="004B5968">
      <w:pPr>
        <w:tabs>
          <w:tab w:val="left" w:pos="1280"/>
          <w:tab w:val="left" w:pos="1281"/>
        </w:tabs>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Key</w:t>
      </w:r>
      <w:r w:rsidRPr="004B5968">
        <w:rPr>
          <w:rFonts w:ascii="Times New Roman" w:hAnsi="Times New Roman" w:cs="Times New Roman"/>
          <w:color w:val="000000" w:themeColor="text1"/>
          <w:spacing w:val="-3"/>
          <w:sz w:val="24"/>
          <w:szCs w:val="24"/>
        </w:rPr>
        <w:t xml:space="preserve"> </w:t>
      </w:r>
      <w:r w:rsidRPr="004B5968">
        <w:rPr>
          <w:rFonts w:ascii="Times New Roman" w:hAnsi="Times New Roman" w:cs="Times New Roman"/>
          <w:color w:val="000000" w:themeColor="text1"/>
          <w:spacing w:val="-2"/>
          <w:sz w:val="24"/>
          <w:szCs w:val="24"/>
        </w:rPr>
        <w:t>contributors:</w:t>
      </w:r>
    </w:p>
    <w:p w14:paraId="3CA40632" w14:textId="77777777" w:rsidR="004B5968" w:rsidRPr="004B5968" w:rsidRDefault="004B5968" w:rsidP="004B5968">
      <w:pPr>
        <w:pStyle w:val="ListParagraph"/>
        <w:widowControl w:val="0"/>
        <w:numPr>
          <w:ilvl w:val="0"/>
          <w:numId w:val="31"/>
        </w:numPr>
        <w:tabs>
          <w:tab w:val="left" w:pos="2001"/>
        </w:tabs>
        <w:autoSpaceDE w:val="0"/>
        <w:autoSpaceDN w:val="0"/>
        <w:spacing w:after="0" w:line="280" w:lineRule="exact"/>
        <w:ind w:hanging="361"/>
        <w:contextualSpacing w:val="0"/>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Bea</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z w:val="24"/>
          <w:szCs w:val="24"/>
        </w:rPr>
        <w:t>Mountain</w:t>
      </w:r>
      <w:r w:rsidRPr="004B5968">
        <w:rPr>
          <w:rFonts w:ascii="Times New Roman" w:hAnsi="Times New Roman" w:cs="Times New Roman"/>
          <w:color w:val="000000" w:themeColor="text1"/>
          <w:spacing w:val="-2"/>
          <w:sz w:val="24"/>
          <w:szCs w:val="24"/>
        </w:rPr>
        <w:t xml:space="preserve"> </w:t>
      </w:r>
      <w:r w:rsidRPr="004B5968">
        <w:rPr>
          <w:rFonts w:ascii="Times New Roman" w:hAnsi="Times New Roman" w:cs="Times New Roman"/>
          <w:color w:val="000000" w:themeColor="text1"/>
          <w:sz w:val="24"/>
          <w:szCs w:val="24"/>
        </w:rPr>
        <w:t>Mining</w:t>
      </w:r>
      <w:r w:rsidRPr="004B5968">
        <w:rPr>
          <w:rFonts w:ascii="Times New Roman" w:hAnsi="Times New Roman" w:cs="Times New Roman"/>
          <w:color w:val="000000" w:themeColor="text1"/>
          <w:spacing w:val="-3"/>
          <w:sz w:val="24"/>
          <w:szCs w:val="24"/>
        </w:rPr>
        <w:t xml:space="preserve"> </w:t>
      </w:r>
      <w:r w:rsidRPr="004B5968">
        <w:rPr>
          <w:rFonts w:ascii="Times New Roman" w:hAnsi="Times New Roman" w:cs="Times New Roman"/>
          <w:color w:val="000000" w:themeColor="text1"/>
          <w:sz w:val="24"/>
          <w:szCs w:val="24"/>
        </w:rPr>
        <w:t>Corporation:</w:t>
      </w:r>
      <w:r w:rsidRPr="004B5968">
        <w:rPr>
          <w:rFonts w:ascii="Times New Roman" w:hAnsi="Times New Roman" w:cs="Times New Roman"/>
          <w:color w:val="000000" w:themeColor="text1"/>
          <w:spacing w:val="-2"/>
          <w:sz w:val="24"/>
          <w:szCs w:val="24"/>
        </w:rPr>
        <w:t xml:space="preserve"> </w:t>
      </w:r>
      <w:r w:rsidRPr="004B5968">
        <w:rPr>
          <w:rFonts w:ascii="Times New Roman" w:hAnsi="Times New Roman" w:cs="Times New Roman"/>
          <w:color w:val="000000" w:themeColor="text1"/>
          <w:spacing w:val="-5"/>
          <w:sz w:val="24"/>
          <w:szCs w:val="24"/>
        </w:rPr>
        <w:t>55%</w:t>
      </w:r>
    </w:p>
    <w:p w14:paraId="7B8E87DF" w14:textId="77777777" w:rsidR="004B5968" w:rsidRPr="004B5968" w:rsidRDefault="004B5968" w:rsidP="004B5968">
      <w:pPr>
        <w:pStyle w:val="ListParagraph"/>
        <w:widowControl w:val="0"/>
        <w:numPr>
          <w:ilvl w:val="0"/>
          <w:numId w:val="31"/>
        </w:numPr>
        <w:tabs>
          <w:tab w:val="left" w:pos="2001"/>
        </w:tabs>
        <w:autoSpaceDE w:val="0"/>
        <w:autoSpaceDN w:val="0"/>
        <w:spacing w:after="0" w:line="276" w:lineRule="exact"/>
        <w:ind w:hanging="361"/>
        <w:contextualSpacing w:val="0"/>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Arcelor</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z w:val="24"/>
          <w:szCs w:val="24"/>
        </w:rPr>
        <w:t>Mittal:</w:t>
      </w:r>
      <w:r w:rsidRPr="004B5968">
        <w:rPr>
          <w:rFonts w:ascii="Times New Roman" w:hAnsi="Times New Roman" w:cs="Times New Roman"/>
          <w:color w:val="000000" w:themeColor="text1"/>
          <w:spacing w:val="-3"/>
          <w:sz w:val="24"/>
          <w:szCs w:val="24"/>
        </w:rPr>
        <w:t xml:space="preserve"> </w:t>
      </w:r>
      <w:r w:rsidRPr="004B5968">
        <w:rPr>
          <w:rFonts w:ascii="Times New Roman" w:hAnsi="Times New Roman" w:cs="Times New Roman"/>
          <w:color w:val="000000" w:themeColor="text1"/>
          <w:spacing w:val="-5"/>
          <w:sz w:val="24"/>
          <w:szCs w:val="24"/>
        </w:rPr>
        <w:t>34%</w:t>
      </w:r>
    </w:p>
    <w:p w14:paraId="5649D800" w14:textId="788D6A40" w:rsidR="004B5968" w:rsidRPr="00C91C46" w:rsidRDefault="004B5968" w:rsidP="00C91C46">
      <w:pPr>
        <w:pStyle w:val="ListParagraph"/>
        <w:widowControl w:val="0"/>
        <w:numPr>
          <w:ilvl w:val="0"/>
          <w:numId w:val="31"/>
        </w:numPr>
        <w:tabs>
          <w:tab w:val="left" w:pos="2001"/>
        </w:tabs>
        <w:autoSpaceDE w:val="0"/>
        <w:autoSpaceDN w:val="0"/>
        <w:spacing w:after="0" w:line="276" w:lineRule="exact"/>
        <w:ind w:hanging="361"/>
        <w:contextualSpacing w:val="0"/>
        <w:rPr>
          <w:rFonts w:ascii="Times New Roman" w:hAnsi="Times New Roman" w:cs="Times New Roman"/>
          <w:color w:val="000000" w:themeColor="text1"/>
          <w:sz w:val="24"/>
          <w:szCs w:val="24"/>
        </w:rPr>
      </w:pPr>
      <w:r w:rsidRPr="004B5968">
        <w:rPr>
          <w:rFonts w:ascii="Times New Roman" w:hAnsi="Times New Roman" w:cs="Times New Roman"/>
          <w:color w:val="000000" w:themeColor="text1"/>
          <w:sz w:val="24"/>
          <w:szCs w:val="24"/>
        </w:rPr>
        <w:t>Firestone</w:t>
      </w:r>
      <w:r w:rsidRPr="004B5968">
        <w:rPr>
          <w:rFonts w:ascii="Times New Roman" w:hAnsi="Times New Roman" w:cs="Times New Roman"/>
          <w:color w:val="000000" w:themeColor="text1"/>
          <w:spacing w:val="-4"/>
          <w:sz w:val="24"/>
          <w:szCs w:val="24"/>
        </w:rPr>
        <w:t xml:space="preserve"> </w:t>
      </w:r>
      <w:r w:rsidRPr="004B5968">
        <w:rPr>
          <w:rFonts w:ascii="Times New Roman" w:hAnsi="Times New Roman" w:cs="Times New Roman"/>
          <w:color w:val="000000" w:themeColor="text1"/>
          <w:sz w:val="24"/>
          <w:szCs w:val="24"/>
        </w:rPr>
        <w:t>Liberia</w:t>
      </w:r>
      <w:r w:rsidRPr="004B5968">
        <w:rPr>
          <w:rFonts w:ascii="Times New Roman" w:hAnsi="Times New Roman" w:cs="Times New Roman"/>
          <w:color w:val="000000" w:themeColor="text1"/>
          <w:spacing w:val="-3"/>
          <w:sz w:val="24"/>
          <w:szCs w:val="24"/>
        </w:rPr>
        <w:t xml:space="preserve"> </w:t>
      </w:r>
      <w:r w:rsidRPr="004B5968">
        <w:rPr>
          <w:rFonts w:ascii="Times New Roman" w:hAnsi="Times New Roman" w:cs="Times New Roman"/>
          <w:color w:val="000000" w:themeColor="text1"/>
          <w:sz w:val="24"/>
          <w:szCs w:val="24"/>
        </w:rPr>
        <w:t>Incorporated: 11%</w:t>
      </w:r>
    </w:p>
    <w:p w14:paraId="286F8D42" w14:textId="77777777" w:rsidR="00423D65" w:rsidRPr="00B64E68" w:rsidRDefault="00423D65" w:rsidP="00423D65">
      <w:pPr>
        <w:spacing w:before="100" w:beforeAutospacing="1" w:after="100" w:afterAutospacing="1" w:line="240" w:lineRule="auto"/>
        <w:jc w:val="both"/>
        <w:outlineLvl w:val="2"/>
        <w:rPr>
          <w:rFonts w:ascii="Times New Roman" w:eastAsia="Times New Roman" w:hAnsi="Times New Roman" w:cs="Times New Roman"/>
          <w:b/>
          <w:bCs/>
          <w:sz w:val="24"/>
          <w:szCs w:val="24"/>
          <w:lang w:val="en-LR" w:eastAsia="en-LR"/>
        </w:rPr>
      </w:pPr>
      <w:bookmarkStart w:id="8" w:name="_Toc217895911"/>
      <w:r w:rsidRPr="00B64E68">
        <w:rPr>
          <w:rFonts w:ascii="Times New Roman" w:eastAsia="Times New Roman" w:hAnsi="Times New Roman" w:cs="Times New Roman"/>
          <w:b/>
          <w:bCs/>
          <w:sz w:val="24"/>
          <w:szCs w:val="24"/>
          <w:lang w:val="en-LR" w:eastAsia="en-LR"/>
        </w:rPr>
        <w:t>Employment in the Extractive Sector</w:t>
      </w:r>
      <w:bookmarkEnd w:id="8"/>
    </w:p>
    <w:p w14:paraId="03A65DEB" w14:textId="77777777" w:rsidR="00C91C46" w:rsidRPr="00C91C46" w:rsidRDefault="00C91C46" w:rsidP="00C91C46">
      <w:pPr>
        <w:tabs>
          <w:tab w:val="left" w:pos="1280"/>
          <w:tab w:val="left" w:pos="1281"/>
        </w:tabs>
        <w:rPr>
          <w:rFonts w:ascii="Times New Roman" w:hAnsi="Times New Roman" w:cs="Times New Roman"/>
          <w:color w:val="000000" w:themeColor="text1"/>
          <w:sz w:val="24"/>
          <w:szCs w:val="24"/>
        </w:rPr>
      </w:pPr>
      <w:r w:rsidRPr="00C91C46">
        <w:rPr>
          <w:rFonts w:ascii="Times New Roman" w:hAnsi="Times New Roman" w:cs="Times New Roman"/>
          <w:color w:val="000000" w:themeColor="text1"/>
          <w:sz w:val="24"/>
          <w:szCs w:val="24"/>
        </w:rPr>
        <w:t>Total</w:t>
      </w:r>
      <w:r w:rsidRPr="00C91C46">
        <w:rPr>
          <w:rFonts w:ascii="Times New Roman" w:hAnsi="Times New Roman" w:cs="Times New Roman"/>
          <w:color w:val="000000" w:themeColor="text1"/>
          <w:spacing w:val="-7"/>
          <w:sz w:val="24"/>
          <w:szCs w:val="24"/>
        </w:rPr>
        <w:t xml:space="preserve"> </w:t>
      </w:r>
      <w:r w:rsidRPr="00C91C46">
        <w:rPr>
          <w:rFonts w:ascii="Times New Roman" w:hAnsi="Times New Roman" w:cs="Times New Roman"/>
          <w:color w:val="000000" w:themeColor="text1"/>
          <w:sz w:val="24"/>
          <w:szCs w:val="24"/>
        </w:rPr>
        <w:t>employment:</w:t>
      </w:r>
      <w:r w:rsidRPr="00C91C46">
        <w:rPr>
          <w:rFonts w:ascii="Times New Roman" w:hAnsi="Times New Roman" w:cs="Times New Roman"/>
          <w:color w:val="000000" w:themeColor="text1"/>
          <w:spacing w:val="-4"/>
          <w:sz w:val="24"/>
          <w:szCs w:val="24"/>
        </w:rPr>
        <w:t xml:space="preserve"> </w:t>
      </w:r>
      <w:r w:rsidRPr="00C91C46">
        <w:rPr>
          <w:rFonts w:ascii="Times New Roman" w:hAnsi="Times New Roman" w:cs="Times New Roman"/>
          <w:color w:val="000000" w:themeColor="text1"/>
          <w:sz w:val="24"/>
          <w:szCs w:val="24"/>
        </w:rPr>
        <w:t>19,345</w:t>
      </w:r>
      <w:r w:rsidRPr="00C91C46">
        <w:rPr>
          <w:rFonts w:ascii="Times New Roman" w:hAnsi="Times New Roman" w:cs="Times New Roman"/>
          <w:b/>
          <w:bCs/>
          <w:color w:val="000000" w:themeColor="text1"/>
          <w:sz w:val="24"/>
          <w:szCs w:val="24"/>
          <w:lang w:val="en-LR" w:eastAsia="en-LR"/>
        </w:rPr>
        <w:t xml:space="preserve"> </w:t>
      </w:r>
      <w:r w:rsidRPr="00C91C46">
        <w:rPr>
          <w:rFonts w:ascii="Times New Roman" w:hAnsi="Times New Roman" w:cs="Times New Roman"/>
          <w:b/>
          <w:color w:val="000000" w:themeColor="text1"/>
          <w:sz w:val="24"/>
          <w:szCs w:val="24"/>
        </w:rPr>
        <w:t>workers</w:t>
      </w:r>
      <w:r w:rsidRPr="00C91C46">
        <w:rPr>
          <w:rFonts w:ascii="Times New Roman" w:hAnsi="Times New Roman" w:cs="Times New Roman"/>
          <w:b/>
          <w:color w:val="000000" w:themeColor="text1"/>
          <w:spacing w:val="-5"/>
          <w:sz w:val="24"/>
          <w:szCs w:val="24"/>
        </w:rPr>
        <w:t xml:space="preserve"> </w:t>
      </w:r>
      <w:r w:rsidRPr="00C91C46">
        <w:rPr>
          <w:rFonts w:ascii="Times New Roman" w:hAnsi="Times New Roman" w:cs="Times New Roman"/>
          <w:color w:val="000000" w:themeColor="text1"/>
          <w:sz w:val="24"/>
          <w:szCs w:val="24"/>
        </w:rPr>
        <w:t>(</w:t>
      </w:r>
      <w:r w:rsidRPr="00C91C46">
        <w:rPr>
          <w:rFonts w:ascii="Times New Roman" w:hAnsi="Times New Roman" w:cs="Times New Roman"/>
          <w:color w:val="000000" w:themeColor="text1"/>
          <w:sz w:val="24"/>
          <w:szCs w:val="24"/>
          <w:lang w:val="en-LR" w:eastAsia="en-LR"/>
        </w:rPr>
        <w:t>0.</w:t>
      </w:r>
      <w:r w:rsidRPr="00C91C46">
        <w:rPr>
          <w:rFonts w:ascii="Times New Roman" w:hAnsi="Times New Roman" w:cs="Times New Roman"/>
          <w:color w:val="000000" w:themeColor="text1"/>
          <w:sz w:val="24"/>
          <w:szCs w:val="24"/>
          <w:lang w:eastAsia="en-LR"/>
        </w:rPr>
        <w:t>48</w:t>
      </w:r>
      <w:r w:rsidRPr="00C91C46">
        <w:rPr>
          <w:rFonts w:ascii="Times New Roman" w:hAnsi="Times New Roman" w:cs="Times New Roman"/>
          <w:color w:val="000000" w:themeColor="text1"/>
          <w:sz w:val="24"/>
          <w:szCs w:val="24"/>
          <w:lang w:val="en-LR" w:eastAsia="en-LR"/>
        </w:rPr>
        <w:t xml:space="preserve">% </w:t>
      </w:r>
      <w:r w:rsidRPr="00C91C46">
        <w:rPr>
          <w:rFonts w:ascii="Times New Roman" w:hAnsi="Times New Roman" w:cs="Times New Roman"/>
          <w:color w:val="000000" w:themeColor="text1"/>
          <w:sz w:val="24"/>
          <w:szCs w:val="24"/>
        </w:rPr>
        <w:t>of</w:t>
      </w:r>
      <w:r w:rsidRPr="00C91C46">
        <w:rPr>
          <w:rFonts w:ascii="Times New Roman" w:hAnsi="Times New Roman" w:cs="Times New Roman"/>
          <w:color w:val="000000" w:themeColor="text1"/>
          <w:spacing w:val="-5"/>
          <w:sz w:val="24"/>
          <w:szCs w:val="24"/>
        </w:rPr>
        <w:t xml:space="preserve"> </w:t>
      </w:r>
      <w:r w:rsidRPr="00C91C46">
        <w:rPr>
          <w:rFonts w:ascii="Times New Roman" w:hAnsi="Times New Roman" w:cs="Times New Roman"/>
          <w:color w:val="000000" w:themeColor="text1"/>
          <w:sz w:val="24"/>
          <w:szCs w:val="24"/>
        </w:rPr>
        <w:t>Liberia’s</w:t>
      </w:r>
      <w:r w:rsidRPr="00C91C46">
        <w:rPr>
          <w:rFonts w:ascii="Times New Roman" w:hAnsi="Times New Roman" w:cs="Times New Roman"/>
          <w:color w:val="000000" w:themeColor="text1"/>
          <w:spacing w:val="-6"/>
          <w:sz w:val="24"/>
          <w:szCs w:val="24"/>
        </w:rPr>
        <w:t xml:space="preserve"> </w:t>
      </w:r>
      <w:r w:rsidRPr="00C91C46">
        <w:rPr>
          <w:rFonts w:ascii="Times New Roman" w:hAnsi="Times New Roman" w:cs="Times New Roman"/>
          <w:color w:val="000000" w:themeColor="text1"/>
          <w:sz w:val="24"/>
          <w:szCs w:val="24"/>
        </w:rPr>
        <w:t>labor</w:t>
      </w:r>
      <w:r w:rsidRPr="00C91C46">
        <w:rPr>
          <w:rFonts w:ascii="Times New Roman" w:hAnsi="Times New Roman" w:cs="Times New Roman"/>
          <w:color w:val="000000" w:themeColor="text1"/>
          <w:spacing w:val="-5"/>
          <w:sz w:val="24"/>
          <w:szCs w:val="24"/>
        </w:rPr>
        <w:t xml:space="preserve"> </w:t>
      </w:r>
      <w:r w:rsidRPr="00C91C46">
        <w:rPr>
          <w:rFonts w:ascii="Times New Roman" w:hAnsi="Times New Roman" w:cs="Times New Roman"/>
          <w:color w:val="000000" w:themeColor="text1"/>
          <w:spacing w:val="-2"/>
          <w:sz w:val="24"/>
          <w:szCs w:val="24"/>
        </w:rPr>
        <w:t>force)</w:t>
      </w:r>
    </w:p>
    <w:p w14:paraId="206DAA68" w14:textId="7230EF4D" w:rsidR="00C91C46" w:rsidRPr="00C91C46" w:rsidRDefault="00C91C46" w:rsidP="00C91C46">
      <w:pPr>
        <w:pStyle w:val="ListParagraph"/>
        <w:widowControl w:val="0"/>
        <w:numPr>
          <w:ilvl w:val="0"/>
          <w:numId w:val="32"/>
        </w:numPr>
        <w:tabs>
          <w:tab w:val="left" w:pos="1280"/>
          <w:tab w:val="left" w:pos="1281"/>
        </w:tabs>
        <w:autoSpaceDE w:val="0"/>
        <w:autoSpaceDN w:val="0"/>
        <w:spacing w:after="0" w:line="240" w:lineRule="auto"/>
        <w:rPr>
          <w:rFonts w:ascii="Times New Roman" w:hAnsi="Times New Roman" w:cs="Times New Roman"/>
          <w:color w:val="000000" w:themeColor="text1"/>
          <w:sz w:val="24"/>
          <w:szCs w:val="24"/>
        </w:rPr>
      </w:pPr>
      <w:r w:rsidRPr="00C91C46">
        <w:rPr>
          <w:rFonts w:ascii="Times New Roman" w:hAnsi="Times New Roman" w:cs="Times New Roman"/>
          <w:color w:val="000000" w:themeColor="text1"/>
          <w:sz w:val="24"/>
          <w:szCs w:val="24"/>
        </w:rPr>
        <w:t>Male</w:t>
      </w:r>
      <w:r w:rsidRPr="00C91C46">
        <w:rPr>
          <w:rFonts w:ascii="Times New Roman" w:hAnsi="Times New Roman" w:cs="Times New Roman"/>
          <w:color w:val="000000" w:themeColor="text1"/>
          <w:spacing w:val="-15"/>
          <w:sz w:val="24"/>
          <w:szCs w:val="24"/>
        </w:rPr>
        <w:t xml:space="preserve"> </w:t>
      </w:r>
      <w:r w:rsidRPr="00C91C46">
        <w:rPr>
          <w:rFonts w:ascii="Times New Roman" w:hAnsi="Times New Roman" w:cs="Times New Roman"/>
          <w:color w:val="000000" w:themeColor="text1"/>
          <w:sz w:val="24"/>
          <w:szCs w:val="24"/>
        </w:rPr>
        <w:t>representation: 16,637s</w:t>
      </w:r>
    </w:p>
    <w:p w14:paraId="5340F749" w14:textId="77777777" w:rsidR="00C91C46" w:rsidRPr="00C91C46" w:rsidRDefault="00C91C46" w:rsidP="00C91C46">
      <w:pPr>
        <w:pStyle w:val="ListParagraph"/>
        <w:numPr>
          <w:ilvl w:val="0"/>
          <w:numId w:val="32"/>
        </w:numPr>
        <w:spacing w:before="100" w:beforeAutospacing="1" w:after="100" w:afterAutospacing="1" w:line="240" w:lineRule="auto"/>
        <w:jc w:val="both"/>
        <w:outlineLvl w:val="3"/>
        <w:rPr>
          <w:rFonts w:ascii="Times New Roman" w:hAnsi="Times New Roman" w:cs="Times New Roman"/>
          <w:b/>
          <w:color w:val="000000" w:themeColor="text1"/>
          <w:sz w:val="24"/>
          <w:szCs w:val="24"/>
        </w:rPr>
      </w:pPr>
      <w:r w:rsidRPr="00C91C46">
        <w:rPr>
          <w:rFonts w:ascii="Times New Roman" w:hAnsi="Times New Roman" w:cs="Times New Roman"/>
          <w:color w:val="000000" w:themeColor="text1"/>
          <w:sz w:val="24"/>
          <w:szCs w:val="24"/>
        </w:rPr>
        <w:t>Female</w:t>
      </w:r>
      <w:r w:rsidRPr="00C91C46">
        <w:rPr>
          <w:rFonts w:ascii="Times New Roman" w:hAnsi="Times New Roman" w:cs="Times New Roman"/>
          <w:color w:val="000000" w:themeColor="text1"/>
          <w:spacing w:val="-15"/>
          <w:sz w:val="24"/>
          <w:szCs w:val="24"/>
        </w:rPr>
        <w:t xml:space="preserve"> </w:t>
      </w:r>
      <w:r w:rsidRPr="00C91C46">
        <w:rPr>
          <w:rFonts w:ascii="Times New Roman" w:hAnsi="Times New Roman" w:cs="Times New Roman"/>
          <w:color w:val="000000" w:themeColor="text1"/>
          <w:sz w:val="24"/>
          <w:szCs w:val="24"/>
        </w:rPr>
        <w:t>representation</w:t>
      </w:r>
      <w:r w:rsidRPr="00C91C46">
        <w:rPr>
          <w:rFonts w:ascii="Times New Roman" w:hAnsi="Times New Roman" w:cs="Times New Roman"/>
          <w:b/>
          <w:color w:val="000000" w:themeColor="text1"/>
          <w:sz w:val="24"/>
          <w:szCs w:val="24"/>
        </w:rPr>
        <w:t>:</w:t>
      </w:r>
      <w:r w:rsidRPr="00C91C46">
        <w:rPr>
          <w:rFonts w:ascii="Times New Roman" w:hAnsi="Times New Roman" w:cs="Times New Roman"/>
          <w:b/>
          <w:color w:val="000000" w:themeColor="text1"/>
          <w:spacing w:val="-15"/>
          <w:sz w:val="24"/>
          <w:szCs w:val="24"/>
        </w:rPr>
        <w:t xml:space="preserve"> </w:t>
      </w:r>
      <w:r w:rsidRPr="00C91C46">
        <w:rPr>
          <w:rFonts w:ascii="Times New Roman" w:hAnsi="Times New Roman" w:cs="Times New Roman"/>
          <w:color w:val="000000" w:themeColor="text1"/>
          <w:sz w:val="24"/>
          <w:szCs w:val="24"/>
        </w:rPr>
        <w:t xml:space="preserve">2,708 </w:t>
      </w:r>
      <w:r w:rsidRPr="00C91C46">
        <w:rPr>
          <w:rFonts w:ascii="Times New Roman" w:hAnsi="Times New Roman" w:cs="Times New Roman"/>
          <w:b/>
          <w:color w:val="000000" w:themeColor="text1"/>
          <w:sz w:val="24"/>
          <w:szCs w:val="24"/>
        </w:rPr>
        <w:t xml:space="preserve"> </w:t>
      </w:r>
    </w:p>
    <w:p w14:paraId="31D08629" w14:textId="31EC59E2" w:rsidR="00423D65" w:rsidRPr="00B64E68" w:rsidRDefault="00423D65" w:rsidP="00C91C46">
      <w:pPr>
        <w:spacing w:before="100" w:beforeAutospacing="1" w:after="100" w:afterAutospacing="1" w:line="240" w:lineRule="auto"/>
        <w:jc w:val="both"/>
        <w:outlineLvl w:val="3"/>
        <w:rPr>
          <w:rFonts w:ascii="Times New Roman" w:eastAsia="Times New Roman" w:hAnsi="Times New Roman" w:cs="Times New Roman"/>
          <w:b/>
          <w:bCs/>
          <w:sz w:val="24"/>
          <w:szCs w:val="24"/>
          <w:lang w:val="en-LR" w:eastAsia="en-LR"/>
        </w:rPr>
      </w:pPr>
      <w:r w:rsidRPr="00B64E68">
        <w:rPr>
          <w:rFonts w:ascii="Times New Roman" w:eastAsia="Times New Roman" w:hAnsi="Times New Roman" w:cs="Times New Roman"/>
          <w:b/>
          <w:bCs/>
          <w:sz w:val="24"/>
          <w:szCs w:val="24"/>
          <w:lang w:val="en-LR" w:eastAsia="en-LR"/>
        </w:rPr>
        <w:t>Reporting Challenges</w:t>
      </w:r>
    </w:p>
    <w:p w14:paraId="27B7A252" w14:textId="496F89E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LEITI faced difficulties obtaining information from </w:t>
      </w:r>
      <w:r w:rsidR="00C91C46">
        <w:rPr>
          <w:rFonts w:ascii="Times New Roman" w:eastAsia="Times New Roman" w:hAnsi="Times New Roman" w:cs="Times New Roman"/>
          <w:sz w:val="24"/>
          <w:szCs w:val="24"/>
          <w:lang w:val="en-LR" w:eastAsia="en-LR"/>
        </w:rPr>
        <w:t>certain government institutions and companies, which hampered</w:t>
      </w:r>
      <w:r w:rsidRPr="00B64E68">
        <w:rPr>
          <w:rFonts w:ascii="Times New Roman" w:eastAsia="Times New Roman" w:hAnsi="Times New Roman" w:cs="Times New Roman"/>
          <w:sz w:val="24"/>
          <w:szCs w:val="24"/>
          <w:lang w:val="en-LR" w:eastAsia="en-LR"/>
        </w:rPr>
        <w:t xml:space="preserve"> the reporting process. To address this:</w:t>
      </w:r>
    </w:p>
    <w:p w14:paraId="4ADAEBF2" w14:textId="77777777" w:rsidR="00423D65" w:rsidRPr="00B64E68" w:rsidRDefault="00423D65" w:rsidP="00423D65">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The MSG has mandated the enforcement of </w:t>
      </w:r>
      <w:r w:rsidRPr="00B64E68">
        <w:rPr>
          <w:rFonts w:ascii="Times New Roman" w:eastAsia="Times New Roman" w:hAnsi="Times New Roman" w:cs="Times New Roman"/>
          <w:b/>
          <w:bCs/>
          <w:sz w:val="24"/>
          <w:szCs w:val="24"/>
          <w:lang w:val="en-LR" w:eastAsia="en-LR"/>
        </w:rPr>
        <w:t>Regulations 001</w:t>
      </w:r>
      <w:r w:rsidRPr="00B64E68">
        <w:rPr>
          <w:rFonts w:ascii="Times New Roman" w:eastAsia="Times New Roman" w:hAnsi="Times New Roman" w:cs="Times New Roman"/>
          <w:sz w:val="24"/>
          <w:szCs w:val="24"/>
          <w:lang w:val="en-LR" w:eastAsia="en-LR"/>
        </w:rPr>
        <w:t xml:space="preserve"> during the production of the 16th EITI Report. Regulation 001 is the Liberian MSG sanction regime adopted in 2016.</w:t>
      </w:r>
    </w:p>
    <w:p w14:paraId="4B9A79AE" w14:textId="77777777" w:rsidR="00423D65" w:rsidRPr="00B64E68" w:rsidRDefault="00423D65" w:rsidP="00423D65">
      <w:pPr>
        <w:pStyle w:val="ListParagraph"/>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Delinquent entities will be publicly named and shamed to ensure compliance with EITI standards.</w:t>
      </w:r>
    </w:p>
    <w:p w14:paraId="003AEF17" w14:textId="7784016E" w:rsidR="00423D65" w:rsidRPr="00B64E68" w:rsidRDefault="00423D65" w:rsidP="00423D65">
      <w:pPr>
        <w:pStyle w:val="NormalWeb"/>
        <w:jc w:val="both"/>
      </w:pPr>
      <w:bookmarkStart w:id="9" w:name="_Hlk217639163"/>
      <w:r w:rsidRPr="00B64E68">
        <w:t xml:space="preserve">The Liberia Extractive Industries Transparency Initiative (LEITI) officially launched its 15th EITI Report on </w:t>
      </w:r>
      <w:r w:rsidR="00303B3C">
        <w:t>December 12</w:t>
      </w:r>
      <w:r w:rsidRPr="00B64E68">
        <w:t>, 202</w:t>
      </w:r>
      <w:r w:rsidR="00303B3C">
        <w:t>5</w:t>
      </w:r>
      <w:r w:rsidRPr="00B64E68">
        <w:t>, marking a pivotal step in advancing transparency and accountability in Liberia’s extractive sector. The report, covering the fiscal period from J</w:t>
      </w:r>
      <w:r w:rsidR="00303B3C">
        <w:t>anuary</w:t>
      </w:r>
      <w:r w:rsidRPr="00B64E68">
        <w:t xml:space="preserve"> 1, 202</w:t>
      </w:r>
      <w:r w:rsidR="00303B3C">
        <w:t>3</w:t>
      </w:r>
      <w:r w:rsidRPr="00B64E68">
        <w:t>, to December 31, 202</w:t>
      </w:r>
      <w:r w:rsidR="00303B3C">
        <w:t>3</w:t>
      </w:r>
      <w:r w:rsidRPr="00B64E68">
        <w:t xml:space="preserve">, was produced by Parker &amp; Associates LLC in collaboration with BDO-UK under the Multi-Stakeholder Steering Group (MSG). This is Liberia's </w:t>
      </w:r>
      <w:r w:rsidR="00303B3C">
        <w:t>second</w:t>
      </w:r>
      <w:r w:rsidRPr="00B64E68">
        <w:t xml:space="preserve"> reconciled report </w:t>
      </w:r>
      <w:r w:rsidR="00303B3C">
        <w:t xml:space="preserve">since the </w:t>
      </w:r>
      <w:r w:rsidR="000523A3">
        <w:t xml:space="preserve">onset of the </w:t>
      </w:r>
      <w:r w:rsidR="00303B3C">
        <w:t>COVID-19 pandemic</w:t>
      </w:r>
      <w:r w:rsidRPr="00B64E68">
        <w:t>.</w:t>
      </w:r>
    </w:p>
    <w:p w14:paraId="6FF307E4" w14:textId="461A4E23" w:rsidR="00423D65" w:rsidRPr="00B64E68" w:rsidRDefault="00423D65" w:rsidP="00423D65">
      <w:pPr>
        <w:pStyle w:val="NormalWeb"/>
        <w:jc w:val="both"/>
      </w:pPr>
      <w:r w:rsidRPr="00B64E68">
        <w:lastRenderedPageBreak/>
        <w:t xml:space="preserve">The report highlights key data from </w:t>
      </w:r>
      <w:r w:rsidR="00303B3C">
        <w:t>16</w:t>
      </w:r>
      <w:r w:rsidRPr="00B64E68">
        <w:t xml:space="preserve"> in-scope companies across the mining, forestry, and agriculture sectors, </w:t>
      </w:r>
      <w:r w:rsidR="00303B3C">
        <w:t>as well as contributions from 10</w:t>
      </w:r>
      <w:r w:rsidRPr="00B64E68">
        <w:t xml:space="preserve"> government institutions. Total revenues from the extractive sector during the period </w:t>
      </w:r>
      <w:r w:rsidR="00303B3C">
        <w:t>totaled USD 152.46 million, representing</w:t>
      </w:r>
      <w:r w:rsidRPr="00B64E68">
        <w:t xml:space="preserve"> </w:t>
      </w:r>
      <w:r w:rsidR="00303B3C">
        <w:t>21.4</w:t>
      </w:r>
      <w:r w:rsidRPr="00B64E68">
        <w:t>6% of Liberia’s domestic revenue. Top contributors included ArcelorMittal Liberia ($</w:t>
      </w:r>
      <w:r w:rsidR="00303B3C">
        <w:rPr>
          <w:lang w:val="en-LR" w:eastAsia="en-LR"/>
        </w:rPr>
        <w:t>60,022,089.00</w:t>
      </w:r>
      <w:r w:rsidRPr="00B64E68">
        <w:t>), Bea Mountain Mining Company ($</w:t>
      </w:r>
      <w:r w:rsidR="00303B3C">
        <w:rPr>
          <w:lang w:val="en-LR" w:eastAsia="en-LR"/>
        </w:rPr>
        <w:t>37,637,109.00</w:t>
      </w:r>
      <w:r w:rsidRPr="00B64E68">
        <w:t>), Firestone Liberia ($</w:t>
      </w:r>
      <w:r w:rsidR="00303B3C">
        <w:rPr>
          <w:lang w:val="en-LR" w:eastAsia="en-LR"/>
        </w:rPr>
        <w:t>11,645,450.00</w:t>
      </w:r>
      <w:r w:rsidRPr="00B64E68">
        <w:t>)</w:t>
      </w:r>
      <w:r w:rsidR="00303B3C">
        <w:t>, Western Cluster (</w:t>
      </w:r>
      <w:r w:rsidR="00303B3C" w:rsidRPr="00303B3C">
        <w:t>10,299,451.00</w:t>
      </w:r>
      <w:r w:rsidR="00303B3C">
        <w:t>), China Union Liberia (</w:t>
      </w:r>
      <w:r w:rsidR="00303B3C" w:rsidRPr="00303B3C">
        <w:t>9,625, 302.00</w:t>
      </w:r>
      <w:r w:rsidR="00303B3C">
        <w:t>), and others (</w:t>
      </w:r>
      <w:r w:rsidR="00303B3C" w:rsidRPr="00303B3C">
        <w:t>23,228,301.00</w:t>
      </w:r>
      <w:r w:rsidR="00303B3C">
        <w:t>).</w:t>
      </w:r>
    </w:p>
    <w:p w14:paraId="59829B0E" w14:textId="0709FDD5" w:rsidR="00423D65" w:rsidRPr="00B64E68" w:rsidRDefault="00423D65" w:rsidP="00423D65">
      <w:pPr>
        <w:pStyle w:val="NormalWeb"/>
        <w:jc w:val="both"/>
      </w:pPr>
      <w:r w:rsidRPr="00B64E68">
        <w:t>During the reporting period, export value amounted to USD 1.</w:t>
      </w:r>
      <w:r w:rsidR="00303B3C">
        <w:t>35</w:t>
      </w:r>
      <w:r w:rsidRPr="00B64E68">
        <w:t>2 billion, representing 9</w:t>
      </w:r>
      <w:r w:rsidR="00303B3C">
        <w:t>7</w:t>
      </w:r>
      <w:r w:rsidRPr="00B64E68">
        <w:t>.</w:t>
      </w:r>
      <w:r w:rsidR="00303B3C">
        <w:t>55</w:t>
      </w:r>
      <w:r w:rsidRPr="00B64E68">
        <w:t>% of the country’s total exports. Bea Mountain Mining Corporation led exports with 4</w:t>
      </w:r>
      <w:r w:rsidR="00D25C6D">
        <w:t>9</w:t>
      </w:r>
      <w:r w:rsidRPr="00B64E68">
        <w:t xml:space="preserve">%, followed by ArcelorMittal at </w:t>
      </w:r>
      <w:r w:rsidR="00D25C6D">
        <w:t>36</w:t>
      </w:r>
      <w:r w:rsidRPr="00B64E68">
        <w:t xml:space="preserve">% and </w:t>
      </w:r>
      <w:r w:rsidR="00D25C6D">
        <w:t>Firestone Liberia</w:t>
      </w:r>
      <w:r w:rsidRPr="00B64E68">
        <w:t xml:space="preserve"> </w:t>
      </w:r>
      <w:r w:rsidR="00D25C6D">
        <w:t>6</w:t>
      </w:r>
      <w:r w:rsidRPr="00B64E68">
        <w:t>%. Extractive companies' social and environmental expenditures totaled $</w:t>
      </w:r>
      <w:r w:rsidR="00D25C6D">
        <w:t>24</w:t>
      </w:r>
      <w:r w:rsidRPr="00B64E68">
        <w:t xml:space="preserve"> million, </w:t>
      </w:r>
      <w:r w:rsidR="00D25C6D">
        <w:t>of which $12 million was</w:t>
      </w:r>
      <w:r w:rsidRPr="00B64E68">
        <w:t xml:space="preserve"> mandatory social spending.</w:t>
      </w:r>
    </w:p>
    <w:p w14:paraId="02835F9A" w14:textId="2C368C3B" w:rsidR="00423D65" w:rsidRPr="00B64E68" w:rsidRDefault="00423D65" w:rsidP="00423D65">
      <w:pPr>
        <w:pStyle w:val="NormalWeb"/>
        <w:jc w:val="both"/>
      </w:pPr>
      <w:r w:rsidRPr="00B64E68">
        <w:t xml:space="preserve">The report also captures significant production data, including </w:t>
      </w:r>
      <w:r w:rsidR="00D25C6D" w:rsidRPr="003C06DF">
        <w:rPr>
          <w:color w:val="000000" w:themeColor="text1"/>
        </w:rPr>
        <w:t>12,146 kg</w:t>
      </w:r>
      <w:r w:rsidR="00D25C6D" w:rsidRPr="003C06DF">
        <w:rPr>
          <w:color w:val="000000" w:themeColor="text1"/>
          <w:spacing w:val="-3"/>
        </w:rPr>
        <w:t xml:space="preserve"> </w:t>
      </w:r>
      <w:r w:rsidRPr="00B64E68">
        <w:t xml:space="preserve">of gold, </w:t>
      </w:r>
      <w:r w:rsidR="00A301D0" w:rsidRPr="003C06DF">
        <w:rPr>
          <w:color w:val="000000" w:themeColor="text1"/>
          <w:lang w:eastAsia="en-LR"/>
        </w:rPr>
        <w:t>4</w:t>
      </w:r>
      <w:r w:rsidR="00A301D0" w:rsidRPr="003C06DF">
        <w:rPr>
          <w:color w:val="000000" w:themeColor="text1"/>
          <w:lang w:val="en-LR" w:eastAsia="en-LR"/>
        </w:rPr>
        <w:t>,</w:t>
      </w:r>
      <w:r w:rsidR="00A301D0" w:rsidRPr="003C06DF">
        <w:rPr>
          <w:color w:val="000000" w:themeColor="text1"/>
          <w:lang w:eastAsia="en-LR"/>
        </w:rPr>
        <w:t>002</w:t>
      </w:r>
      <w:r w:rsidR="00A301D0" w:rsidRPr="003C06DF">
        <w:rPr>
          <w:color w:val="000000" w:themeColor="text1"/>
          <w:lang w:val="en-LR" w:eastAsia="en-LR"/>
        </w:rPr>
        <w:t>,</w:t>
      </w:r>
      <w:r w:rsidR="00A301D0" w:rsidRPr="003C06DF">
        <w:rPr>
          <w:color w:val="000000" w:themeColor="text1"/>
          <w:lang w:eastAsia="en-LR"/>
        </w:rPr>
        <w:t>474</w:t>
      </w:r>
      <w:r w:rsidR="00A301D0" w:rsidRPr="003C06DF">
        <w:rPr>
          <w:color w:val="000000" w:themeColor="text1"/>
          <w:lang w:val="en-LR" w:eastAsia="en-LR"/>
        </w:rPr>
        <w:t xml:space="preserve"> </w:t>
      </w:r>
      <w:r w:rsidRPr="00B64E68">
        <w:t xml:space="preserve">metric tons of iron ore, and </w:t>
      </w:r>
      <w:r w:rsidR="00A301D0" w:rsidRPr="003C06DF">
        <w:rPr>
          <w:color w:val="000000" w:themeColor="text1"/>
        </w:rPr>
        <w:t xml:space="preserve">56,838 </w:t>
      </w:r>
      <w:r w:rsidRPr="00B64E68">
        <w:t xml:space="preserve">carats of diamonds. Employment figures showed </w:t>
      </w:r>
      <w:r w:rsidR="00A301D0" w:rsidRPr="003C06DF">
        <w:rPr>
          <w:bCs/>
          <w:color w:val="000000" w:themeColor="text1"/>
          <w:lang w:val="en-LR" w:eastAsia="en-LR"/>
        </w:rPr>
        <w:t xml:space="preserve">19,345 </w:t>
      </w:r>
      <w:r w:rsidRPr="00B64E68">
        <w:t xml:space="preserve">people </w:t>
      </w:r>
      <w:r w:rsidR="00A301D0">
        <w:t>employed in mining, agriculture, and forestry, with 14% of workers female</w:t>
      </w:r>
      <w:r w:rsidRPr="00B64E68">
        <w:t>.</w:t>
      </w:r>
    </w:p>
    <w:p w14:paraId="04F73F8F" w14:textId="6A26E08E" w:rsidR="00423D65" w:rsidRPr="00B64E68" w:rsidRDefault="00423D65" w:rsidP="00423D65">
      <w:pPr>
        <w:pStyle w:val="NormalWeb"/>
        <w:jc w:val="both"/>
      </w:pPr>
      <w:r w:rsidRPr="00B64E68">
        <w:t>In a landmark move, Liberia launched a digital Beneficial Ownership (BO) register in September 2023 to enhance accountability, combat corruption, and promote responsible business practices. The full register will be operational by March 202</w:t>
      </w:r>
      <w:r w:rsidR="00A301D0">
        <w:t>6</w:t>
      </w:r>
      <w:r w:rsidRPr="00B64E68">
        <w:t>.</w:t>
      </w:r>
    </w:p>
    <w:p w14:paraId="1C4E15AA" w14:textId="724ACED7" w:rsidR="00423D65" w:rsidRPr="00B64E68" w:rsidRDefault="00423D65" w:rsidP="00423D65">
      <w:pPr>
        <w:pStyle w:val="NormalWeb"/>
        <w:jc w:val="both"/>
      </w:pPr>
      <w:r w:rsidRPr="00B64E68">
        <w:rPr>
          <w:noProof/>
        </w:rPr>
        <mc:AlternateContent>
          <mc:Choice Requires="wps">
            <w:drawing>
              <wp:anchor distT="0" distB="0" distL="114300" distR="114300" simplePos="0" relativeHeight="251666432" behindDoc="1" locked="0" layoutInCell="1" allowOverlap="1" wp14:anchorId="7BB10785" wp14:editId="517A8069">
                <wp:simplePos x="0" y="0"/>
                <wp:positionH relativeFrom="margin">
                  <wp:align>left</wp:align>
                </wp:positionH>
                <wp:positionV relativeFrom="paragraph">
                  <wp:posOffset>3985260</wp:posOffset>
                </wp:positionV>
                <wp:extent cx="5676900" cy="635"/>
                <wp:effectExtent l="0" t="0" r="0" b="0"/>
                <wp:wrapTight wrapText="bothSides">
                  <wp:wrapPolygon edited="0">
                    <wp:start x="0" y="0"/>
                    <wp:lineTo x="0" y="20057"/>
                    <wp:lineTo x="21528" y="20057"/>
                    <wp:lineTo x="21528" y="0"/>
                    <wp:lineTo x="0" y="0"/>
                  </wp:wrapPolygon>
                </wp:wrapTight>
                <wp:docPr id="672149586" name="Text Box 1"/>
                <wp:cNvGraphicFramePr/>
                <a:graphic xmlns:a="http://schemas.openxmlformats.org/drawingml/2006/main">
                  <a:graphicData uri="http://schemas.microsoft.com/office/word/2010/wordprocessingShape">
                    <wps:wsp>
                      <wps:cNvSpPr txBox="1"/>
                      <wps:spPr>
                        <a:xfrm>
                          <a:off x="0" y="0"/>
                          <a:ext cx="5676900" cy="635"/>
                        </a:xfrm>
                        <a:prstGeom prst="rect">
                          <a:avLst/>
                        </a:prstGeom>
                        <a:solidFill>
                          <a:prstClr val="white"/>
                        </a:solidFill>
                        <a:ln>
                          <a:noFill/>
                        </a:ln>
                      </wps:spPr>
                      <wps:txbx>
                        <w:txbxContent>
                          <w:p w14:paraId="400BC60A" w14:textId="1746A221" w:rsidR="00423D65" w:rsidRPr="000523A3" w:rsidRDefault="00423D65" w:rsidP="00423D65">
                            <w:pPr>
                              <w:pStyle w:val="Caption"/>
                              <w:rPr>
                                <w:rFonts w:ascii="Times New Roman" w:hAnsi="Times New Roman" w:cs="Times New Roman"/>
                                <w:b/>
                                <w:bCs/>
                                <w:noProof/>
                                <w:color w:val="000000" w:themeColor="text1"/>
                                <w:sz w:val="24"/>
                                <w:szCs w:val="24"/>
                                <w:u w:val="single"/>
                              </w:rPr>
                            </w:pPr>
                            <w:r w:rsidRPr="000523A3">
                              <w:rPr>
                                <w:rFonts w:ascii="Times New Roman" w:hAnsi="Times New Roman" w:cs="Times New Roman"/>
                                <w:b/>
                                <w:bCs/>
                                <w:color w:val="000000" w:themeColor="text1"/>
                              </w:rPr>
                              <w:t>M</w:t>
                            </w:r>
                            <w:r w:rsidR="00947404" w:rsidRPr="000523A3">
                              <w:rPr>
                                <w:rFonts w:ascii="Times New Roman" w:hAnsi="Times New Roman" w:cs="Times New Roman"/>
                                <w:b/>
                                <w:bCs/>
                                <w:color w:val="000000" w:themeColor="text1"/>
                              </w:rPr>
                              <w:t>embers of the MSG at the launch of the 16</w:t>
                            </w:r>
                            <w:r w:rsidR="00947404" w:rsidRPr="000523A3">
                              <w:rPr>
                                <w:rFonts w:ascii="Times New Roman" w:hAnsi="Times New Roman" w:cs="Times New Roman"/>
                                <w:b/>
                                <w:bCs/>
                                <w:color w:val="000000" w:themeColor="text1"/>
                                <w:vertAlign w:val="superscript"/>
                              </w:rPr>
                              <w:t>th</w:t>
                            </w:r>
                            <w:r w:rsidR="00947404" w:rsidRPr="000523A3">
                              <w:rPr>
                                <w:rFonts w:ascii="Times New Roman" w:hAnsi="Times New Roman" w:cs="Times New Roman"/>
                                <w:b/>
                                <w:bCs/>
                                <w:color w:val="000000" w:themeColor="text1"/>
                              </w:rPr>
                              <w:t xml:space="preserve"> EITI Report for Liberia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B10785" id="Text Box 1" o:spid="_x0000_s1030" type="#_x0000_t202" style="position:absolute;left:0;text-align:left;margin-left:0;margin-top:313.8pt;width:447pt;height:.05pt;z-index:-251650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" stroked="f">
                <v:textbox style="mso-fit-shape-to-text:t" inset="0,0,0,0">
                  <w:txbxContent>
                    <w:p w14:paraId="400BC60A" w14:textId="1746A221" w:rsidR="00423D65" w:rsidRPr="000523A3" w:rsidRDefault="00423D65" w:rsidP="00423D65">
                      <w:pPr>
                        <w:pStyle w:val="Caption"/>
                        <w:rPr>
                          <w:rFonts w:ascii="Times New Roman" w:hAnsi="Times New Roman" w:cs="Times New Roman"/>
                          <w:b/>
                          <w:bCs/>
                          <w:noProof/>
                          <w:color w:val="000000" w:themeColor="text1"/>
                          <w:sz w:val="24"/>
                          <w:szCs w:val="24"/>
                          <w:u w:val="single"/>
                        </w:rPr>
                      </w:pPr>
                      <w:r w:rsidRPr="000523A3">
                        <w:rPr>
                          <w:rFonts w:ascii="Times New Roman" w:hAnsi="Times New Roman" w:cs="Times New Roman"/>
                          <w:b/>
                          <w:bCs/>
                          <w:color w:val="000000" w:themeColor="text1"/>
                        </w:rPr>
                        <w:t>M</w:t>
                      </w:r>
                      <w:r w:rsidR="00947404" w:rsidRPr="000523A3">
                        <w:rPr>
                          <w:rFonts w:ascii="Times New Roman" w:hAnsi="Times New Roman" w:cs="Times New Roman"/>
                          <w:b/>
                          <w:bCs/>
                          <w:color w:val="000000" w:themeColor="text1"/>
                        </w:rPr>
                        <w:t>embers of the MSG at the launch of the 16</w:t>
                      </w:r>
                      <w:r w:rsidR="00947404" w:rsidRPr="000523A3">
                        <w:rPr>
                          <w:rFonts w:ascii="Times New Roman" w:hAnsi="Times New Roman" w:cs="Times New Roman"/>
                          <w:b/>
                          <w:bCs/>
                          <w:color w:val="000000" w:themeColor="text1"/>
                          <w:vertAlign w:val="superscript"/>
                        </w:rPr>
                        <w:t>th</w:t>
                      </w:r>
                      <w:r w:rsidR="00947404" w:rsidRPr="000523A3">
                        <w:rPr>
                          <w:rFonts w:ascii="Times New Roman" w:hAnsi="Times New Roman" w:cs="Times New Roman"/>
                          <w:b/>
                          <w:bCs/>
                          <w:color w:val="000000" w:themeColor="text1"/>
                        </w:rPr>
                        <w:t xml:space="preserve"> EITI Report for Liberia</w:t>
                      </w:r>
                    </w:p>
                  </w:txbxContent>
                </v:textbox>
                <w10:wrap type="tight" anchorx="margin"/>
              </v:shape>
            </w:pict>
          </mc:Fallback>
        </mc:AlternateContent>
      </w:r>
      <w:r w:rsidRPr="00B64E68">
        <w:t xml:space="preserve">While celebrating these achievements, LEITI acknowledged challenges, including non-compliance by some government institutions and companies in providing data for the report. To address this, the MSG has mandated stricter </w:t>
      </w:r>
      <w:r w:rsidR="005263C4">
        <w:t>enforcement of regulations</w:t>
      </w:r>
      <w:r w:rsidRPr="00B64E68">
        <w:t>, including publicly naming and shaming delinquent entities in the forthcoming 1</w:t>
      </w:r>
      <w:r w:rsidR="005263C4">
        <w:t>7</w:t>
      </w:r>
      <w:r w:rsidRPr="005263C4">
        <w:rPr>
          <w:vertAlign w:val="superscript"/>
        </w:rPr>
        <w:t>th</w:t>
      </w:r>
      <w:r w:rsidR="005263C4">
        <w:t xml:space="preserve"> and 18</w:t>
      </w:r>
      <w:r w:rsidR="005263C4" w:rsidRPr="005263C4">
        <w:rPr>
          <w:vertAlign w:val="superscript"/>
        </w:rPr>
        <w:t>th</w:t>
      </w:r>
      <w:r w:rsidR="005263C4">
        <w:t xml:space="preserve"> </w:t>
      </w:r>
      <w:r w:rsidR="005263C4" w:rsidRPr="00B64E68">
        <w:t>EITI</w:t>
      </w:r>
      <w:r w:rsidRPr="00B64E68">
        <w:t xml:space="preserve"> Report</w:t>
      </w:r>
      <w:r w:rsidR="005263C4">
        <w:t>s</w:t>
      </w:r>
      <w:r w:rsidRPr="00B64E68">
        <w:t>.</w:t>
      </w:r>
    </w:p>
    <w:bookmarkEnd w:id="9"/>
    <w:p w14:paraId="7AA1D484" w14:textId="0D1E9573" w:rsidR="00423D65" w:rsidRPr="00B64E68" w:rsidRDefault="00947404" w:rsidP="00423D65">
      <w:pPr>
        <w:jc w:val="both"/>
        <w:rPr>
          <w:rFonts w:ascii="Times New Roman" w:eastAsiaTheme="minorEastAsia" w:hAnsi="Times New Roman" w:cs="Times New Roman"/>
          <w:b/>
          <w:bCs/>
          <w:i/>
          <w:iCs/>
          <w:color w:val="FF0000"/>
          <w:sz w:val="24"/>
          <w:szCs w:val="24"/>
          <w:u w:val="single"/>
        </w:rPr>
      </w:pPr>
      <w:r>
        <w:rPr>
          <w:rFonts w:ascii="Times New Roman" w:eastAsiaTheme="minorEastAsia" w:hAnsi="Times New Roman" w:cs="Times New Roman"/>
          <w:b/>
          <w:bCs/>
          <w:i/>
          <w:iCs/>
          <w:noProof/>
          <w:color w:val="FF0000"/>
          <w:sz w:val="24"/>
          <w:szCs w:val="24"/>
          <w:u w:val="single"/>
        </w:rPr>
        <w:drawing>
          <wp:inline distT="0" distB="0" distL="0" distR="0" wp14:anchorId="6E703A94" wp14:editId="4C890C38">
            <wp:extent cx="6057900" cy="2917190"/>
            <wp:effectExtent l="0" t="0" r="0" b="0"/>
            <wp:docPr id="160753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9950" cy="2927808"/>
                    </a:xfrm>
                    <a:prstGeom prst="rect">
                      <a:avLst/>
                    </a:prstGeom>
                    <a:noFill/>
                  </pic:spPr>
                </pic:pic>
              </a:graphicData>
            </a:graphic>
          </wp:inline>
        </w:drawing>
      </w:r>
    </w:p>
    <w:p w14:paraId="2D62BEA2" w14:textId="77777777" w:rsidR="00423D65" w:rsidRPr="00B64E68" w:rsidRDefault="00423D65" w:rsidP="00423D65">
      <w:pPr>
        <w:jc w:val="both"/>
        <w:rPr>
          <w:rFonts w:ascii="Times New Roman" w:eastAsiaTheme="minorEastAsia" w:hAnsi="Times New Roman" w:cs="Times New Roman"/>
          <w:b/>
          <w:bCs/>
          <w:i/>
          <w:iCs/>
          <w:color w:val="000000" w:themeColor="text1"/>
          <w:sz w:val="24"/>
          <w:szCs w:val="24"/>
          <w:u w:val="single"/>
        </w:rPr>
      </w:pPr>
      <w:r w:rsidRPr="00B64E68">
        <w:rPr>
          <w:rFonts w:ascii="Times New Roman" w:eastAsiaTheme="minorEastAsia" w:hAnsi="Times New Roman" w:cs="Times New Roman"/>
          <w:b/>
          <w:bCs/>
          <w:i/>
          <w:iCs/>
          <w:color w:val="000000" w:themeColor="text1"/>
          <w:sz w:val="24"/>
          <w:szCs w:val="24"/>
          <w:u w:val="single"/>
        </w:rPr>
        <w:t>Dissemination of 13</w:t>
      </w:r>
      <w:r w:rsidRPr="00B64E68">
        <w:rPr>
          <w:rFonts w:ascii="Times New Roman" w:eastAsiaTheme="minorEastAsia" w:hAnsi="Times New Roman" w:cs="Times New Roman"/>
          <w:b/>
          <w:bCs/>
          <w:i/>
          <w:iCs/>
          <w:color w:val="000000" w:themeColor="text1"/>
          <w:sz w:val="24"/>
          <w:szCs w:val="24"/>
          <w:u w:val="single"/>
          <w:vertAlign w:val="superscript"/>
        </w:rPr>
        <w:t>th</w:t>
      </w:r>
      <w:r w:rsidRPr="00B64E68">
        <w:rPr>
          <w:rFonts w:ascii="Times New Roman" w:eastAsiaTheme="minorEastAsia" w:hAnsi="Times New Roman" w:cs="Times New Roman"/>
          <w:b/>
          <w:bCs/>
          <w:i/>
          <w:iCs/>
          <w:color w:val="000000" w:themeColor="text1"/>
          <w:sz w:val="24"/>
          <w:szCs w:val="24"/>
          <w:u w:val="single"/>
        </w:rPr>
        <w:t>, 14</w:t>
      </w:r>
      <w:r w:rsidRPr="00B64E68">
        <w:rPr>
          <w:rFonts w:ascii="Times New Roman" w:eastAsiaTheme="minorEastAsia" w:hAnsi="Times New Roman" w:cs="Times New Roman"/>
          <w:b/>
          <w:bCs/>
          <w:i/>
          <w:iCs/>
          <w:color w:val="000000" w:themeColor="text1"/>
          <w:sz w:val="24"/>
          <w:szCs w:val="24"/>
          <w:u w:val="single"/>
          <w:vertAlign w:val="superscript"/>
        </w:rPr>
        <w:t>th</w:t>
      </w:r>
      <w:r w:rsidRPr="00B64E68">
        <w:rPr>
          <w:rFonts w:ascii="Times New Roman" w:eastAsiaTheme="minorEastAsia" w:hAnsi="Times New Roman" w:cs="Times New Roman"/>
          <w:b/>
          <w:bCs/>
          <w:i/>
          <w:iCs/>
          <w:color w:val="000000" w:themeColor="text1"/>
          <w:sz w:val="24"/>
          <w:szCs w:val="24"/>
          <w:u w:val="single"/>
        </w:rPr>
        <w:t xml:space="preserve"> and 15</w:t>
      </w:r>
      <w:r w:rsidRPr="00B64E68">
        <w:rPr>
          <w:rFonts w:ascii="Times New Roman" w:eastAsiaTheme="minorEastAsia" w:hAnsi="Times New Roman" w:cs="Times New Roman"/>
          <w:b/>
          <w:bCs/>
          <w:i/>
          <w:iCs/>
          <w:color w:val="000000" w:themeColor="text1"/>
          <w:sz w:val="24"/>
          <w:szCs w:val="24"/>
          <w:u w:val="single"/>
          <w:vertAlign w:val="superscript"/>
        </w:rPr>
        <w:t>th</w:t>
      </w:r>
      <w:r w:rsidRPr="00B64E68">
        <w:rPr>
          <w:rFonts w:ascii="Times New Roman" w:eastAsiaTheme="minorEastAsia" w:hAnsi="Times New Roman" w:cs="Times New Roman"/>
          <w:b/>
          <w:bCs/>
          <w:i/>
          <w:iCs/>
          <w:color w:val="000000" w:themeColor="text1"/>
          <w:sz w:val="24"/>
          <w:szCs w:val="24"/>
          <w:u w:val="single"/>
        </w:rPr>
        <w:t xml:space="preserve"> EITI Reports</w:t>
      </w:r>
    </w:p>
    <w:p w14:paraId="11DFAF63" w14:textId="77777777" w:rsidR="00EF0992" w:rsidRPr="003C06DF" w:rsidRDefault="00EF0992" w:rsidP="00EF0992">
      <w:pPr>
        <w:pStyle w:val="NormalWeb"/>
        <w:jc w:val="both"/>
        <w:rPr>
          <w:color w:val="000000" w:themeColor="text1"/>
        </w:rPr>
      </w:pPr>
      <w:r w:rsidRPr="003C06DF">
        <w:rPr>
          <w:color w:val="000000" w:themeColor="text1"/>
        </w:rPr>
        <w:lastRenderedPageBreak/>
        <w:t>The Liberia Extractive Industries Transparency Initiative (LEITI), with valuable support from GIZ</w:t>
      </w:r>
      <w:r>
        <w:rPr>
          <w:color w:val="000000" w:themeColor="text1"/>
        </w:rPr>
        <w:t xml:space="preserve"> and the Government of Liberia</w:t>
      </w:r>
      <w:r w:rsidRPr="003C06DF">
        <w:rPr>
          <w:color w:val="000000" w:themeColor="text1"/>
        </w:rPr>
        <w:t xml:space="preserve">, has officially launched the second phase of disseminating its 13th, 14th, and 15th EITI Reports throughout Liberia. This stage of the outreach program will extend to Sinoe, Margibi, Grand Bassa, and River </w:t>
      </w:r>
      <w:proofErr w:type="spellStart"/>
      <w:r w:rsidRPr="003C06DF">
        <w:rPr>
          <w:color w:val="000000" w:themeColor="text1"/>
        </w:rPr>
        <w:t>Cess</w:t>
      </w:r>
      <w:proofErr w:type="spellEnd"/>
      <w:r w:rsidRPr="003C06DF">
        <w:rPr>
          <w:color w:val="000000" w:themeColor="text1"/>
        </w:rPr>
        <w:t xml:space="preserve"> Counties, ensuring that vital information on the extractive sector is brought directly to citizens at the community level.</w:t>
      </w:r>
    </w:p>
    <w:p w14:paraId="4D58329E" w14:textId="52A3EA07" w:rsidR="00EF0992" w:rsidRPr="003C06DF" w:rsidRDefault="00EF0992" w:rsidP="00EF0992">
      <w:pPr>
        <w:pStyle w:val="NormalWeb"/>
        <w:jc w:val="both"/>
        <w:rPr>
          <w:color w:val="000000" w:themeColor="text1"/>
        </w:rPr>
      </w:pPr>
      <w:r w:rsidRPr="003C06DF">
        <w:rPr>
          <w:color w:val="000000" w:themeColor="text1"/>
        </w:rPr>
        <w:t xml:space="preserve">The rollout commenced in Sinoe County, where residents convened to review the </w:t>
      </w:r>
      <w:r>
        <w:rPr>
          <w:color w:val="000000" w:themeColor="text1"/>
        </w:rPr>
        <w:t>findings of the reports</w:t>
      </w:r>
      <w:r w:rsidRPr="003C06DF">
        <w:rPr>
          <w:color w:val="000000" w:themeColor="text1"/>
        </w:rPr>
        <w:t xml:space="preserve"> and openly express their concerns. During these engagements, several pressing issues were highlighted by community members:</w:t>
      </w:r>
    </w:p>
    <w:p w14:paraId="4B9AC671" w14:textId="77777777" w:rsidR="00EF0992" w:rsidRPr="003C06DF" w:rsidRDefault="00EF0992" w:rsidP="00EF0992">
      <w:pPr>
        <w:pStyle w:val="NormalWeb"/>
        <w:numPr>
          <w:ilvl w:val="0"/>
          <w:numId w:val="33"/>
        </w:numPr>
        <w:jc w:val="both"/>
        <w:rPr>
          <w:color w:val="000000" w:themeColor="text1"/>
        </w:rPr>
      </w:pPr>
      <w:r w:rsidRPr="003C06DF">
        <w:rPr>
          <w:rStyle w:val="Strong"/>
          <w:rFonts w:eastAsiaTheme="majorEastAsia"/>
          <w:color w:val="000000" w:themeColor="text1"/>
        </w:rPr>
        <w:t>Poor road infrastructure</w:t>
      </w:r>
      <w:r w:rsidRPr="003C06DF">
        <w:rPr>
          <w:color w:val="000000" w:themeColor="text1"/>
        </w:rPr>
        <w:t xml:space="preserve"> continues to hinder mobility, access to services, and overall development.</w:t>
      </w:r>
    </w:p>
    <w:p w14:paraId="0BBBBE3C" w14:textId="77777777" w:rsidR="00EF0992" w:rsidRPr="003C06DF" w:rsidRDefault="00EF0992" w:rsidP="00EF0992">
      <w:pPr>
        <w:pStyle w:val="NormalWeb"/>
        <w:numPr>
          <w:ilvl w:val="0"/>
          <w:numId w:val="33"/>
        </w:numPr>
        <w:jc w:val="both"/>
        <w:rPr>
          <w:color w:val="000000" w:themeColor="text1"/>
        </w:rPr>
      </w:pPr>
      <w:r w:rsidRPr="003C06DF">
        <w:rPr>
          <w:rStyle w:val="Strong"/>
          <w:rFonts w:eastAsiaTheme="majorEastAsia"/>
          <w:color w:val="000000" w:themeColor="text1"/>
        </w:rPr>
        <w:t>Limited transparency and accountability</w:t>
      </w:r>
      <w:r w:rsidRPr="003C06DF">
        <w:rPr>
          <w:color w:val="000000" w:themeColor="text1"/>
        </w:rPr>
        <w:t xml:space="preserve"> in the management and utilization of Social Development Funds (SDFs).</w:t>
      </w:r>
    </w:p>
    <w:p w14:paraId="3C7DCDD4" w14:textId="77777777" w:rsidR="00EF0992" w:rsidRPr="003C06DF" w:rsidRDefault="00EF0992" w:rsidP="00EF0992">
      <w:pPr>
        <w:pStyle w:val="NormalWeb"/>
        <w:numPr>
          <w:ilvl w:val="0"/>
          <w:numId w:val="33"/>
        </w:numPr>
        <w:jc w:val="both"/>
        <w:rPr>
          <w:color w:val="000000" w:themeColor="text1"/>
        </w:rPr>
      </w:pPr>
      <w:r w:rsidRPr="003C06DF">
        <w:rPr>
          <w:rStyle w:val="Strong"/>
          <w:rFonts w:eastAsiaTheme="majorEastAsia"/>
          <w:color w:val="000000" w:themeColor="text1"/>
        </w:rPr>
        <w:t>Insufficient employment opportunities</w:t>
      </w:r>
      <w:r w:rsidRPr="003C06DF">
        <w:rPr>
          <w:color w:val="000000" w:themeColor="text1"/>
        </w:rPr>
        <w:t xml:space="preserve"> for local populations within concession areas, leave many without sustainable livelihoods.</w:t>
      </w:r>
    </w:p>
    <w:p w14:paraId="414E032D" w14:textId="77777777" w:rsidR="00EF0992" w:rsidRPr="003C06DF" w:rsidRDefault="00EF0992" w:rsidP="00EF0992">
      <w:pPr>
        <w:pStyle w:val="NormalWeb"/>
        <w:numPr>
          <w:ilvl w:val="0"/>
          <w:numId w:val="33"/>
        </w:numPr>
        <w:jc w:val="both"/>
        <w:rPr>
          <w:color w:val="000000" w:themeColor="text1"/>
        </w:rPr>
      </w:pPr>
      <w:r w:rsidRPr="003C06DF">
        <w:rPr>
          <w:rStyle w:val="Strong"/>
          <w:rFonts w:eastAsiaTheme="majorEastAsia"/>
          <w:color w:val="000000" w:themeColor="text1"/>
        </w:rPr>
        <w:t>Environmental degradation</w:t>
      </w:r>
      <w:r w:rsidRPr="003C06DF">
        <w:rPr>
          <w:color w:val="000000" w:themeColor="text1"/>
        </w:rPr>
        <w:t xml:space="preserve"> associated with mining activities, particularly in Government Camp.</w:t>
      </w:r>
    </w:p>
    <w:p w14:paraId="68DCA1EC" w14:textId="77777777" w:rsidR="00EF0992" w:rsidRPr="003C06DF" w:rsidRDefault="00EF0992" w:rsidP="00EF0992">
      <w:pPr>
        <w:pStyle w:val="NormalWeb"/>
        <w:numPr>
          <w:ilvl w:val="0"/>
          <w:numId w:val="33"/>
        </w:numPr>
        <w:jc w:val="both"/>
        <w:rPr>
          <w:color w:val="000000" w:themeColor="text1"/>
        </w:rPr>
      </w:pPr>
      <w:r w:rsidRPr="003C06DF">
        <w:rPr>
          <w:rStyle w:val="Strong"/>
          <w:rFonts w:eastAsiaTheme="majorEastAsia"/>
          <w:color w:val="000000" w:themeColor="text1"/>
        </w:rPr>
        <w:t>Uninformed extraction of black sand</w:t>
      </w:r>
      <w:r w:rsidRPr="003C06DF">
        <w:rPr>
          <w:color w:val="000000" w:themeColor="text1"/>
        </w:rPr>
        <w:t>, with communities lacking awareness of its importance and potential benefits.</w:t>
      </w:r>
    </w:p>
    <w:p w14:paraId="733CCCFF" w14:textId="77777777" w:rsidR="00EF0992" w:rsidRPr="003C06DF" w:rsidRDefault="00EF0992" w:rsidP="00EF0992">
      <w:pPr>
        <w:pStyle w:val="NormalWeb"/>
        <w:jc w:val="both"/>
        <w:rPr>
          <w:color w:val="000000" w:themeColor="text1"/>
        </w:rPr>
      </w:pPr>
      <w:r w:rsidRPr="003C06DF">
        <w:rPr>
          <w:color w:val="000000" w:themeColor="text1"/>
        </w:rPr>
        <w:t xml:space="preserve">LEITI reaffirmed its </w:t>
      </w:r>
      <w:r>
        <w:rPr>
          <w:color w:val="000000" w:themeColor="text1"/>
        </w:rPr>
        <w:t>commitment to fostering inclusive dialogue, enhancing data accessibility, and strengthening public awareness, all aligned</w:t>
      </w:r>
      <w:r w:rsidRPr="003C06DF">
        <w:rPr>
          <w:color w:val="000000" w:themeColor="text1"/>
        </w:rPr>
        <w:t xml:space="preserve"> with the EITI’s global principles of transparency and accountability in natural resource governance.</w:t>
      </w:r>
    </w:p>
    <w:p w14:paraId="78FDA2BA" w14:textId="1C4664F2" w:rsidR="00EF0992" w:rsidRDefault="00EF0992" w:rsidP="00EF0992">
      <w:pPr>
        <w:jc w:val="both"/>
        <w:rPr>
          <w:rFonts w:ascii="Times New Roman" w:hAnsi="Times New Roman" w:cs="Times New Roman"/>
          <w:color w:val="000000" w:themeColor="text1"/>
          <w:sz w:val="24"/>
          <w:szCs w:val="24"/>
        </w:rPr>
      </w:pPr>
      <w:r w:rsidRPr="00EF0992">
        <w:rPr>
          <w:rFonts w:ascii="Times New Roman" w:hAnsi="Times New Roman" w:cs="Times New Roman"/>
          <w:color w:val="000000" w:themeColor="text1"/>
          <w:sz w:val="24"/>
          <w:szCs w:val="24"/>
        </w:rPr>
        <w:t>The LEITI Secretariat extends its heartfelt appreciation to GIZ and the Government of Liberia for its continued collaboration and support, which have been instrumental in advancing these outreach efforts. Together, LEITI and GIZ are making significant progress in ensuring that information about Liberia’s natural resources is not only published but also reaches the citizens who are most directly impacted.</w:t>
      </w:r>
    </w:p>
    <w:p w14:paraId="4C6120B9" w14:textId="6E07A09A" w:rsidR="00306B98" w:rsidRPr="00306B98" w:rsidRDefault="00306B98" w:rsidP="00EF0992">
      <w:pPr>
        <w:jc w:val="both"/>
        <w:rPr>
          <w:rFonts w:ascii="Times New Roman" w:hAnsi="Times New Roman" w:cs="Times New Roman"/>
          <w:b/>
          <w:bCs/>
          <w:i/>
          <w:iCs/>
          <w:color w:val="000000" w:themeColor="text1"/>
          <w:sz w:val="18"/>
          <w:szCs w:val="18"/>
        </w:rPr>
      </w:pPr>
      <w:r>
        <w:rPr>
          <w:rFonts w:ascii="Times New Roman" w:hAnsi="Times New Roman" w:cs="Times New Roman"/>
          <w:noProof/>
          <w:color w:val="000000" w:themeColor="text1"/>
          <w:sz w:val="24"/>
          <w:szCs w:val="24"/>
        </w:rPr>
        <w:drawing>
          <wp:anchor distT="0" distB="0" distL="114300" distR="114300" simplePos="0" relativeHeight="251697152" behindDoc="0" locked="0" layoutInCell="1" allowOverlap="1" wp14:anchorId="0E3AA59C" wp14:editId="414C873B">
            <wp:simplePos x="914400" y="4330700"/>
            <wp:positionH relativeFrom="column">
              <wp:align>left</wp:align>
            </wp:positionH>
            <wp:positionV relativeFrom="paragraph">
              <wp:align>top</wp:align>
            </wp:positionV>
            <wp:extent cx="2990850" cy="1957070"/>
            <wp:effectExtent l="0" t="0" r="0" b="5080"/>
            <wp:wrapSquare wrapText="bothSides"/>
            <wp:docPr id="626279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957070"/>
                    </a:xfrm>
                    <a:prstGeom prst="rect">
                      <a:avLst/>
                    </a:prstGeom>
                    <a:noFill/>
                  </pic:spPr>
                </pic:pic>
              </a:graphicData>
            </a:graphic>
          </wp:anchor>
        </w:drawing>
      </w:r>
      <w:r>
        <w:rPr>
          <w:rFonts w:ascii="Times New Roman" w:hAnsi="Times New Roman" w:cs="Times New Roman"/>
          <w:noProof/>
          <w:color w:val="000000" w:themeColor="text1"/>
          <w:sz w:val="24"/>
          <w:szCs w:val="24"/>
        </w:rPr>
        <w:drawing>
          <wp:inline distT="0" distB="0" distL="0" distR="0" wp14:anchorId="0DDC0A53" wp14:editId="1A25CF17">
            <wp:extent cx="2792998" cy="1957070"/>
            <wp:effectExtent l="0" t="0" r="7620" b="5080"/>
            <wp:docPr id="1390740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719" cy="1967385"/>
                    </a:xfrm>
                    <a:prstGeom prst="rect">
                      <a:avLst/>
                    </a:prstGeom>
                    <a:noFill/>
                  </pic:spPr>
                </pic:pic>
              </a:graphicData>
            </a:graphic>
          </wp:inline>
        </w:drawing>
      </w:r>
      <w:r>
        <w:rPr>
          <w:rFonts w:ascii="Times New Roman" w:hAnsi="Times New Roman" w:cs="Times New Roman"/>
          <w:color w:val="000000" w:themeColor="text1"/>
          <w:sz w:val="24"/>
          <w:szCs w:val="24"/>
        </w:rPr>
        <w:br w:type="textWrapping" w:clear="all"/>
      </w:r>
      <w:r w:rsidRPr="00306B98">
        <w:rPr>
          <w:rFonts w:ascii="Times New Roman" w:hAnsi="Times New Roman" w:cs="Times New Roman"/>
          <w:b/>
          <w:bCs/>
          <w:i/>
          <w:iCs/>
          <w:color w:val="000000" w:themeColor="text1"/>
          <w:sz w:val="18"/>
          <w:szCs w:val="18"/>
        </w:rPr>
        <w:t>LEITI Team disseminating in Sinoe Country</w:t>
      </w:r>
    </w:p>
    <w:p w14:paraId="0493CD99" w14:textId="77777777" w:rsidR="001B053E" w:rsidRDefault="00423D65" w:rsidP="00EF0992">
      <w:pPr>
        <w:jc w:val="both"/>
        <w:rPr>
          <w:rFonts w:ascii="Times New Roman" w:eastAsiaTheme="minorEastAsia" w:hAnsi="Times New Roman" w:cs="Times New Roman"/>
          <w:b/>
          <w:bCs/>
          <w:color w:val="000000" w:themeColor="text1"/>
          <w:sz w:val="24"/>
          <w:szCs w:val="24"/>
        </w:rPr>
      </w:pPr>
      <w:r w:rsidRPr="00B64E68">
        <w:rPr>
          <w:rFonts w:ascii="Times New Roman" w:eastAsiaTheme="minorEastAsia" w:hAnsi="Times New Roman" w:cs="Times New Roman"/>
          <w:b/>
          <w:bCs/>
          <w:color w:val="000000" w:themeColor="text1"/>
          <w:sz w:val="24"/>
          <w:szCs w:val="24"/>
        </w:rPr>
        <w:t>Capacity building for effective EITI implementation</w:t>
      </w:r>
    </w:p>
    <w:p w14:paraId="425706D2" w14:textId="41480FD2" w:rsidR="00423D65" w:rsidRPr="00B64E68" w:rsidRDefault="00423D65" w:rsidP="00EF0992">
      <w:pPr>
        <w:jc w:val="both"/>
        <w:rPr>
          <w:rFonts w:ascii="Times New Roman" w:eastAsiaTheme="minorEastAsia" w:hAnsi="Times New Roman" w:cs="Times New Roman"/>
          <w:b/>
          <w:bCs/>
          <w:color w:val="000000" w:themeColor="text1"/>
          <w:sz w:val="24"/>
          <w:szCs w:val="24"/>
        </w:rPr>
      </w:pPr>
      <w:r w:rsidRPr="00B64E68">
        <w:rPr>
          <w:rFonts w:ascii="Times New Roman" w:eastAsia="Times New Roman" w:hAnsi="Times New Roman" w:cs="Times New Roman"/>
          <w:color w:val="333333"/>
          <w:sz w:val="24"/>
          <w:szCs w:val="24"/>
          <w:lang w:val="en-LR" w:eastAsia="en-LR"/>
        </w:rPr>
        <w:lastRenderedPageBreak/>
        <w:t xml:space="preserve">The push for greater transparency and accountability in Liberia's extractive industries took a significant step forward on November 14, 2024, as the Africa </w:t>
      </w:r>
      <w:proofErr w:type="spellStart"/>
      <w:r w:rsidRPr="00B64E68">
        <w:rPr>
          <w:rFonts w:ascii="Times New Roman" w:eastAsia="Times New Roman" w:hAnsi="Times New Roman" w:cs="Times New Roman"/>
          <w:color w:val="333333"/>
          <w:sz w:val="24"/>
          <w:szCs w:val="24"/>
          <w:lang w:val="en-LR" w:eastAsia="en-LR"/>
        </w:rPr>
        <w:t>Center</w:t>
      </w:r>
      <w:proofErr w:type="spellEnd"/>
      <w:r w:rsidRPr="00B64E68">
        <w:rPr>
          <w:rFonts w:ascii="Times New Roman" w:eastAsia="Times New Roman" w:hAnsi="Times New Roman" w:cs="Times New Roman"/>
          <w:color w:val="333333"/>
          <w:sz w:val="24"/>
          <w:szCs w:val="24"/>
          <w:lang w:val="en-LR" w:eastAsia="en-LR"/>
        </w:rPr>
        <w:t xml:space="preserve"> for Energy Policy (ACEP) and the Liberia Extractive Industries Transparency Initiative (LEITI) hosted a One-Day Training Workshop on Beneficial Ownership (BO) Transparency in Monrovia. To sharpen the skills of key stakeholders and address emerging challenges around beneficial ownership transparency, the event attracted more than 40 participants representing 20 institutions across government, civil society, and private companies.</w:t>
      </w:r>
    </w:p>
    <w:p w14:paraId="1FAD8A9F" w14:textId="2C67E765"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The workshop emphasized the importance of empowering stakeholders with the knowledge and tools to identify and track the real individuals—beneficial owners—who ultimately control or profit from companies operating within Liberia’s extractive sector. As extractive industries such as mining, oil, and gas remain central to Liberia’s economy, ensuring transparency in ownership structures is critical to combating corruption and enhancing good governance. The event, guided by the Extractive Industries Transparency Initiative (EITI) principles, brought participants together to exchange ideas, share best practices, and discuss the </w:t>
      </w:r>
      <w:r w:rsidR="009E3F83">
        <w:rPr>
          <w:rFonts w:ascii="Times New Roman" w:eastAsia="Times New Roman" w:hAnsi="Times New Roman" w:cs="Times New Roman"/>
          <w:color w:val="333333"/>
          <w:sz w:val="24"/>
          <w:szCs w:val="24"/>
          <w:lang w:val="en-LR" w:eastAsia="en-LR"/>
        </w:rPr>
        <w:t>steps needed to establish a robust,</w:t>
      </w:r>
      <w:r w:rsidRPr="00B64E68">
        <w:rPr>
          <w:rFonts w:ascii="Times New Roman" w:eastAsia="Times New Roman" w:hAnsi="Times New Roman" w:cs="Times New Roman"/>
          <w:color w:val="333333"/>
          <w:sz w:val="24"/>
          <w:szCs w:val="24"/>
          <w:lang w:val="en-LR" w:eastAsia="en-LR"/>
        </w:rPr>
        <w:t xml:space="preserve"> transparent beneficial ownership regime in Liberia.</w:t>
      </w:r>
    </w:p>
    <w:p w14:paraId="5FABB18E" w14:textId="77777777"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58C76C7A" w14:textId="3527C60E"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Jeffrey Yates, Head of the LEITI secretariat, kicked off the workshop with a powerful message about the need for Liberians to take ownership of the </w:t>
      </w:r>
      <w:r w:rsidR="009E3F83">
        <w:rPr>
          <w:rFonts w:ascii="Times New Roman" w:eastAsia="Times New Roman" w:hAnsi="Times New Roman" w:cs="Times New Roman"/>
          <w:color w:val="333333"/>
          <w:sz w:val="24"/>
          <w:szCs w:val="24"/>
          <w:lang w:val="en-LR" w:eastAsia="en-LR"/>
        </w:rPr>
        <w:t>beneficial ownership transparency process</w:t>
      </w:r>
      <w:r w:rsidRPr="00B64E68">
        <w:rPr>
          <w:rFonts w:ascii="Times New Roman" w:eastAsia="Times New Roman" w:hAnsi="Times New Roman" w:cs="Times New Roman"/>
          <w:color w:val="333333"/>
          <w:sz w:val="24"/>
          <w:szCs w:val="24"/>
          <w:lang w:val="en-LR" w:eastAsia="en-LR"/>
        </w:rPr>
        <w:t>. He emphasized that while international frameworks and initiatives like EITI provide a strong foundation, the true success of any transparency efforts must come from within Liberia.</w:t>
      </w:r>
    </w:p>
    <w:p w14:paraId="63D4E81F" w14:textId="77777777" w:rsidR="009E3F83" w:rsidRPr="00B64E68" w:rsidRDefault="009E3F83"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759960A1" w14:textId="5FC6D4F0"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“For this process to succeed beyond the crafted frameworks and international efforts, Liberians must take ownership of the process with utmost patriotism,” Yates said. He stressed the importance of </w:t>
      </w:r>
      <w:r w:rsidR="009E3F83">
        <w:rPr>
          <w:rFonts w:ascii="Times New Roman" w:eastAsia="Times New Roman" w:hAnsi="Times New Roman" w:cs="Times New Roman"/>
          <w:color w:val="333333"/>
          <w:sz w:val="24"/>
          <w:szCs w:val="24"/>
          <w:lang w:val="en-LR" w:eastAsia="en-LR"/>
        </w:rPr>
        <w:t>sustained engagement among all stakeholders to foster a national culture of transparency, in which</w:t>
      </w:r>
      <w:r w:rsidRPr="00B64E68">
        <w:rPr>
          <w:rFonts w:ascii="Times New Roman" w:eastAsia="Times New Roman" w:hAnsi="Times New Roman" w:cs="Times New Roman"/>
          <w:color w:val="333333"/>
          <w:sz w:val="24"/>
          <w:szCs w:val="24"/>
          <w:lang w:val="en-LR" w:eastAsia="en-LR"/>
        </w:rPr>
        <w:t xml:space="preserve"> beneficial ownership disclosure becomes a regulatory requirement and a deeply ingrained national priority. According to Yates, sustained dialogue and collaboration will be essential in overcoming the challenges that continue to impede progress.</w:t>
      </w:r>
    </w:p>
    <w:p w14:paraId="181CF84D" w14:textId="77777777"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2A6E6689" w14:textId="21A50CBA"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One of the key themes of the workshop was the need for </w:t>
      </w:r>
      <w:r w:rsidR="009E3F83">
        <w:rPr>
          <w:rFonts w:ascii="Times New Roman" w:eastAsia="Times New Roman" w:hAnsi="Times New Roman" w:cs="Times New Roman"/>
          <w:color w:val="333333"/>
          <w:sz w:val="24"/>
          <w:szCs w:val="24"/>
          <w:lang w:val="en-LR" w:eastAsia="en-LR"/>
        </w:rPr>
        <w:t>cross-sector collaboration to strengthen</w:t>
      </w:r>
      <w:r w:rsidRPr="00B64E68">
        <w:rPr>
          <w:rFonts w:ascii="Times New Roman" w:eastAsia="Times New Roman" w:hAnsi="Times New Roman" w:cs="Times New Roman"/>
          <w:color w:val="333333"/>
          <w:sz w:val="24"/>
          <w:szCs w:val="24"/>
          <w:lang w:val="en-LR" w:eastAsia="en-LR"/>
        </w:rPr>
        <w:t xml:space="preserve"> Liberia’s BO regime. Elias Ali, ACEP’s Policy Lead on Mineral and Mining, applauded Liberian </w:t>
      </w:r>
      <w:r w:rsidR="009E3F83">
        <w:rPr>
          <w:rFonts w:ascii="Times New Roman" w:eastAsia="Times New Roman" w:hAnsi="Times New Roman" w:cs="Times New Roman"/>
          <w:color w:val="333333"/>
          <w:sz w:val="24"/>
          <w:szCs w:val="24"/>
          <w:lang w:val="en-LR" w:eastAsia="en-LR"/>
        </w:rPr>
        <w:t>stakeholders' willingness to confront corruption head-on, even amid structural and financial challenges</w:t>
      </w:r>
      <w:r w:rsidRPr="00B64E68">
        <w:rPr>
          <w:rFonts w:ascii="Times New Roman" w:eastAsia="Times New Roman" w:hAnsi="Times New Roman" w:cs="Times New Roman"/>
          <w:color w:val="333333"/>
          <w:sz w:val="24"/>
          <w:szCs w:val="24"/>
          <w:lang w:val="en-LR" w:eastAsia="en-LR"/>
        </w:rPr>
        <w:t>.</w:t>
      </w:r>
    </w:p>
    <w:p w14:paraId="686050F6" w14:textId="77777777"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520EDA3D" w14:textId="144D0D8D"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“Liberian stakeholders have shown great commitment to fighting corruption through implementing a BO regime despite the numerous challenges they face,” Ali remarked. He reiterated ACEP’s commitment to working alongside LEITI and other partners to implement Liberia’s beneficial ownership system effectively. Ali noted that identifying the owners of companies operating in the extractive sector is crucial </w:t>
      </w:r>
      <w:r w:rsidR="009E3F83">
        <w:rPr>
          <w:rFonts w:ascii="Times New Roman" w:eastAsia="Times New Roman" w:hAnsi="Times New Roman" w:cs="Times New Roman"/>
          <w:color w:val="333333"/>
          <w:sz w:val="24"/>
          <w:szCs w:val="24"/>
          <w:lang w:val="en-LR" w:eastAsia="en-LR"/>
        </w:rPr>
        <w:t>to preventing corruption, tax evasion, and illicit financial flows—issues that have long plagued resource-rich countries such as</w:t>
      </w:r>
      <w:r w:rsidRPr="00B64E68">
        <w:rPr>
          <w:rFonts w:ascii="Times New Roman" w:eastAsia="Times New Roman" w:hAnsi="Times New Roman" w:cs="Times New Roman"/>
          <w:color w:val="333333"/>
          <w:sz w:val="24"/>
          <w:szCs w:val="24"/>
          <w:lang w:val="en-LR" w:eastAsia="en-LR"/>
        </w:rPr>
        <w:t xml:space="preserve"> Liberia.</w:t>
      </w:r>
    </w:p>
    <w:p w14:paraId="3C266924" w14:textId="77777777" w:rsidR="009E3F83" w:rsidRPr="00B64E68" w:rsidRDefault="009E3F83"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1ED72D14" w14:textId="77777777"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Ali’s comments highlighted the broader goal of beneficial ownership transparency: leveling the playing field by exposing the real actors behind corporate entities. This transparency prevents individuals with hidden interests from exploiting Liberia’s natural resources and ensures that the government and the public can hold companies accountable for their actions.</w:t>
      </w:r>
    </w:p>
    <w:p w14:paraId="61296AAE" w14:textId="77777777" w:rsidR="009E3F83" w:rsidRPr="00B64E68" w:rsidRDefault="009E3F83"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3FE926B7" w14:textId="4129579F"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lastRenderedPageBreak/>
        <w:t xml:space="preserve">One </w:t>
      </w:r>
      <w:r w:rsidR="009E3F83">
        <w:rPr>
          <w:rFonts w:ascii="Times New Roman" w:eastAsia="Times New Roman" w:hAnsi="Times New Roman" w:cs="Times New Roman"/>
          <w:color w:val="333333"/>
          <w:sz w:val="24"/>
          <w:szCs w:val="24"/>
          <w:lang w:val="en-LR" w:eastAsia="en-LR"/>
        </w:rPr>
        <w:t>significant challenge</w:t>
      </w:r>
      <w:r w:rsidRPr="00B64E68">
        <w:rPr>
          <w:rFonts w:ascii="Times New Roman" w:eastAsia="Times New Roman" w:hAnsi="Times New Roman" w:cs="Times New Roman"/>
          <w:color w:val="333333"/>
          <w:sz w:val="24"/>
          <w:szCs w:val="24"/>
          <w:lang w:val="en-LR" w:eastAsia="en-LR"/>
        </w:rPr>
        <w:t xml:space="preserve"> raised during the workshop was the need for institutional reform, particularly regarding the Liberia Business Registry (LBR), the country’s BO Register custodian. Mohammed Dukuly, Deputy Director General for Finance at the Liberia Petroleum Regulatory Authority (LPRA), delivered remarks </w:t>
      </w:r>
      <w:r w:rsidR="009E3F83">
        <w:rPr>
          <w:rFonts w:ascii="Times New Roman" w:eastAsia="Times New Roman" w:hAnsi="Times New Roman" w:cs="Times New Roman"/>
          <w:color w:val="333333"/>
          <w:sz w:val="24"/>
          <w:szCs w:val="24"/>
          <w:lang w:val="en-LR" w:eastAsia="en-LR"/>
        </w:rPr>
        <w:t>urging the Liberian government to make a more substantial</w:t>
      </w:r>
      <w:r w:rsidRPr="00B64E68">
        <w:rPr>
          <w:rFonts w:ascii="Times New Roman" w:eastAsia="Times New Roman" w:hAnsi="Times New Roman" w:cs="Times New Roman"/>
          <w:color w:val="333333"/>
          <w:sz w:val="24"/>
          <w:szCs w:val="24"/>
          <w:lang w:val="en-LR" w:eastAsia="en-LR"/>
        </w:rPr>
        <w:t xml:space="preserve"> commitment to ensuring transparency in beneficial ownership. He urged the government to grant the Liberia Business Registry (LBR) the autonomy it needs to function effectively.</w:t>
      </w:r>
    </w:p>
    <w:p w14:paraId="6E7F1B23" w14:textId="77777777"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1D40F3B2" w14:textId="77777777" w:rsidR="00423D65"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“The Liberia Business Registry, as the custodian of the country’s BO Register, cannot fully function without autonomy,” Dukuly stated. He pointed out the inherent conflict of interest in the current structure, where the LBR operates as a subset of the Ministry of Commerce. According to Dukuly, this arrangement compromises the </w:t>
      </w:r>
      <w:proofErr w:type="spellStart"/>
      <w:r w:rsidRPr="00B64E68">
        <w:rPr>
          <w:rFonts w:ascii="Times New Roman" w:eastAsia="Times New Roman" w:hAnsi="Times New Roman" w:cs="Times New Roman"/>
          <w:color w:val="333333"/>
          <w:sz w:val="24"/>
          <w:szCs w:val="24"/>
          <w:lang w:val="en-LR" w:eastAsia="en-LR"/>
        </w:rPr>
        <w:t>LBR’s</w:t>
      </w:r>
      <w:proofErr w:type="spellEnd"/>
      <w:r w:rsidRPr="00B64E68">
        <w:rPr>
          <w:rFonts w:ascii="Times New Roman" w:eastAsia="Times New Roman" w:hAnsi="Times New Roman" w:cs="Times New Roman"/>
          <w:color w:val="333333"/>
          <w:sz w:val="24"/>
          <w:szCs w:val="24"/>
          <w:lang w:val="en-LR" w:eastAsia="en-LR"/>
        </w:rPr>
        <w:t xml:space="preserve"> ability to act independently, a critical factor if Liberia is to build a reliable and transparent BO regime. He called for the LBR to be made an autonomous agency, free from the influence of any government ministry, to ensure that its mandate is carried out impartially.</w:t>
      </w:r>
    </w:p>
    <w:p w14:paraId="5FD1AF61" w14:textId="77777777"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0A421387" w14:textId="5636E59C"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r w:rsidRPr="00B64E68">
        <w:rPr>
          <w:rFonts w:ascii="Times New Roman" w:eastAsia="Times New Roman" w:hAnsi="Times New Roman" w:cs="Times New Roman"/>
          <w:color w:val="333333"/>
          <w:sz w:val="24"/>
          <w:szCs w:val="24"/>
          <w:lang w:val="en-LR" w:eastAsia="en-LR"/>
        </w:rPr>
        <w:t xml:space="preserve">The workshop concluded with a renewed sense of urgency and determination among stakeholders. The discussions made it clear that while Liberia has made strides in implementing beneficial ownership transparency, much work remains. Achieving </w:t>
      </w:r>
      <w:r w:rsidR="009E3F83">
        <w:rPr>
          <w:rFonts w:ascii="Times New Roman" w:eastAsia="Times New Roman" w:hAnsi="Times New Roman" w:cs="Times New Roman"/>
          <w:color w:val="333333"/>
          <w:sz w:val="24"/>
          <w:szCs w:val="24"/>
          <w:lang w:val="en-LR" w:eastAsia="en-LR"/>
        </w:rPr>
        <w:t>complete</w:t>
      </w:r>
      <w:r w:rsidRPr="00B64E68">
        <w:rPr>
          <w:rFonts w:ascii="Times New Roman" w:eastAsia="Times New Roman" w:hAnsi="Times New Roman" w:cs="Times New Roman"/>
          <w:color w:val="333333"/>
          <w:sz w:val="24"/>
          <w:szCs w:val="24"/>
          <w:lang w:val="en-LR" w:eastAsia="en-LR"/>
        </w:rPr>
        <w:t xml:space="preserve"> transparency in </w:t>
      </w:r>
      <w:r w:rsidR="009E3F83">
        <w:rPr>
          <w:rFonts w:ascii="Times New Roman" w:eastAsia="Times New Roman" w:hAnsi="Times New Roman" w:cs="Times New Roman"/>
          <w:color w:val="333333"/>
          <w:sz w:val="24"/>
          <w:szCs w:val="24"/>
          <w:lang w:val="en-LR" w:eastAsia="en-LR"/>
        </w:rPr>
        <w:t xml:space="preserve">corporate ownership, particularly in </w:t>
      </w:r>
      <w:r w:rsidRPr="00B64E68">
        <w:rPr>
          <w:rFonts w:ascii="Times New Roman" w:eastAsia="Times New Roman" w:hAnsi="Times New Roman" w:cs="Times New Roman"/>
          <w:color w:val="333333"/>
          <w:sz w:val="24"/>
          <w:szCs w:val="24"/>
          <w:lang w:val="en-LR" w:eastAsia="en-LR"/>
        </w:rPr>
        <w:t xml:space="preserve">extractive industries, is no easy feat. However, with continued collaboration, stakeholder engagement, and the political will to enact necessary reforms, Liberia can move closer to a future </w:t>
      </w:r>
      <w:r w:rsidR="009E3F83">
        <w:rPr>
          <w:rFonts w:ascii="Times New Roman" w:eastAsia="Times New Roman" w:hAnsi="Times New Roman" w:cs="Times New Roman"/>
          <w:color w:val="333333"/>
          <w:sz w:val="24"/>
          <w:szCs w:val="24"/>
          <w:lang w:val="en-LR" w:eastAsia="en-LR"/>
        </w:rPr>
        <w:t xml:space="preserve">in which its natural resources benefit all </w:t>
      </w:r>
      <w:r w:rsidRPr="00B64E68">
        <w:rPr>
          <w:rFonts w:ascii="Times New Roman" w:eastAsia="Times New Roman" w:hAnsi="Times New Roman" w:cs="Times New Roman"/>
          <w:color w:val="333333"/>
          <w:sz w:val="24"/>
          <w:szCs w:val="24"/>
          <w:lang w:val="en-LR" w:eastAsia="en-LR"/>
        </w:rPr>
        <w:t>citizens, not just a select few.</w:t>
      </w:r>
      <w:r>
        <w:rPr>
          <w:rFonts w:ascii="Times New Roman" w:eastAsia="Times New Roman" w:hAnsi="Times New Roman" w:cs="Times New Roman"/>
          <w:color w:val="333333"/>
          <w:sz w:val="24"/>
          <w:szCs w:val="24"/>
          <w:lang w:eastAsia="en-LR"/>
        </w:rPr>
        <w:t xml:space="preserve"> </w:t>
      </w:r>
      <w:r w:rsidRPr="00B64E68">
        <w:rPr>
          <w:rFonts w:ascii="Times New Roman" w:eastAsia="Times New Roman" w:hAnsi="Times New Roman" w:cs="Times New Roman"/>
          <w:color w:val="333333"/>
          <w:sz w:val="24"/>
          <w:szCs w:val="24"/>
          <w:lang w:val="en-LR" w:eastAsia="en-LR"/>
        </w:rPr>
        <w:t xml:space="preserve">As the country navigates these challenges, the work of institutions like LEITI and ACEP, combined with </w:t>
      </w:r>
      <w:r w:rsidR="009E3F83">
        <w:rPr>
          <w:rFonts w:ascii="Times New Roman" w:eastAsia="Times New Roman" w:hAnsi="Times New Roman" w:cs="Times New Roman"/>
          <w:color w:val="333333"/>
          <w:sz w:val="24"/>
          <w:szCs w:val="24"/>
          <w:lang w:val="en-LR" w:eastAsia="en-LR"/>
        </w:rPr>
        <w:t xml:space="preserve">support from civil society and the private sector, will be critical to ensuring </w:t>
      </w:r>
      <w:r w:rsidRPr="00B64E68">
        <w:rPr>
          <w:rFonts w:ascii="Times New Roman" w:eastAsia="Times New Roman" w:hAnsi="Times New Roman" w:cs="Times New Roman"/>
          <w:color w:val="333333"/>
          <w:sz w:val="24"/>
          <w:szCs w:val="24"/>
          <w:lang w:val="en-LR" w:eastAsia="en-LR"/>
        </w:rPr>
        <w:t>the country’s resources are managed transparently and responsibly. Beneficial ownership transparency is not just a technical or legal issue—it is a vital step toward building a more accountable and just Liberia.</w:t>
      </w:r>
    </w:p>
    <w:p w14:paraId="23F3DC1D" w14:textId="77777777" w:rsidR="00423D65" w:rsidRPr="00B64E68" w:rsidRDefault="00423D65" w:rsidP="00423D65">
      <w:pPr>
        <w:shd w:val="clear" w:color="auto" w:fill="FFFFFF"/>
        <w:spacing w:after="0" w:line="240" w:lineRule="auto"/>
        <w:jc w:val="both"/>
        <w:rPr>
          <w:rFonts w:ascii="Times New Roman" w:eastAsia="Times New Roman" w:hAnsi="Times New Roman" w:cs="Times New Roman"/>
          <w:color w:val="333333"/>
          <w:sz w:val="24"/>
          <w:szCs w:val="24"/>
          <w:lang w:val="en-LR" w:eastAsia="en-LR"/>
        </w:rPr>
      </w:pPr>
    </w:p>
    <w:p w14:paraId="5D50159B" w14:textId="77777777" w:rsidR="00423D65" w:rsidRPr="00B64E68" w:rsidRDefault="00423D65" w:rsidP="00423D65">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Following their revision, more robust BO software was developed and launched at the end of September. However, the team is still conducting testing with data users, providers, and collectors. The BO platform will be publicly available beginning December 1, 2023.</w:t>
      </w:r>
    </w:p>
    <w:p w14:paraId="6459C9AD" w14:textId="77777777" w:rsidR="00423D65" w:rsidRPr="00B64E68" w:rsidRDefault="00423D65" w:rsidP="00423D65">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 xml:space="preserve"> With the development and recent launch of Liberia's Beneficial Ownership (BO) Register, the Country has taken a meaningful step towards transparency in company ownership, especially in its extractive industries. The Register aims to help increase accountability in the Country's business sector, disclose the actual beneficial owners of corporate institutions, strengthen domestic resource mobilization, and greatly assist the Country in combating money laundering, illicit financial flows, fraud, corruption, and other financial or environmental crimes. </w:t>
      </w:r>
    </w:p>
    <w:p w14:paraId="639AE10A" w14:textId="77777777" w:rsidR="00423D65" w:rsidRPr="00B64E68" w:rsidRDefault="00423D65" w:rsidP="00423D65">
      <w:pPr>
        <w:jc w:val="both"/>
        <w:rPr>
          <w:rFonts w:ascii="Times New Roman" w:eastAsiaTheme="minorEastAsia" w:hAnsi="Times New Roman" w:cs="Times New Roman"/>
          <w:sz w:val="24"/>
          <w:szCs w:val="24"/>
        </w:rPr>
      </w:pPr>
      <w:r w:rsidRPr="00B64E68">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1ED3BFBF" wp14:editId="3C6FBD6E">
                <wp:simplePos x="0" y="0"/>
                <wp:positionH relativeFrom="column">
                  <wp:posOffset>2235200</wp:posOffset>
                </wp:positionH>
                <wp:positionV relativeFrom="paragraph">
                  <wp:posOffset>7959090</wp:posOffset>
                </wp:positionV>
                <wp:extent cx="3962400" cy="635"/>
                <wp:effectExtent l="0" t="0" r="0" b="0"/>
                <wp:wrapSquare wrapText="bothSides"/>
                <wp:docPr id="1446255994" name="Text Box 1"/>
                <wp:cNvGraphicFramePr/>
                <a:graphic xmlns:a="http://schemas.openxmlformats.org/drawingml/2006/main">
                  <a:graphicData uri="http://schemas.microsoft.com/office/word/2010/wordprocessingShape">
                    <wps:wsp>
                      <wps:cNvSpPr txBox="1"/>
                      <wps:spPr>
                        <a:xfrm>
                          <a:off x="0" y="0"/>
                          <a:ext cx="3962400" cy="635"/>
                        </a:xfrm>
                        <a:prstGeom prst="rect">
                          <a:avLst/>
                        </a:prstGeom>
                        <a:solidFill>
                          <a:prstClr val="white"/>
                        </a:solidFill>
                        <a:ln>
                          <a:noFill/>
                        </a:ln>
                      </wps:spPr>
                      <wps:txbx>
                        <w:txbxContent>
                          <w:p w14:paraId="457918CF" w14:textId="77777777" w:rsidR="00423D65" w:rsidRPr="00801D0B" w:rsidRDefault="00423D65" w:rsidP="00423D65">
                            <w:pPr>
                              <w:pStyle w:val="Caption"/>
                              <w:rPr>
                                <w:b/>
                                <w:bCs/>
                                <w:noProof/>
                                <w:color w:val="000000" w:themeColor="text1"/>
                              </w:rPr>
                            </w:pPr>
                            <w:r w:rsidRPr="00801D0B">
                              <w:rPr>
                                <w:b/>
                                <w:bCs/>
                                <w:color w:val="000000" w:themeColor="text1"/>
                              </w:rPr>
                              <w:t xml:space="preserve">ACEP's representative, </w:t>
                            </w:r>
                            <w:proofErr w:type="spellStart"/>
                            <w:r w:rsidRPr="00801D0B">
                              <w:rPr>
                                <w:b/>
                                <w:bCs/>
                                <w:color w:val="000000" w:themeColor="text1"/>
                              </w:rPr>
                              <w:t>Eliasu</w:t>
                            </w:r>
                            <w:proofErr w:type="spellEnd"/>
                            <w:r w:rsidRPr="00801D0B">
                              <w:rPr>
                                <w:b/>
                                <w:bCs/>
                                <w:color w:val="000000" w:themeColor="text1"/>
                              </w:rPr>
                              <w:t xml:space="preserve"> Ali in remarks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3BFBF" id="_x0000_s1031" type="#_x0000_t202" style="position:absolute;left:0;text-align:left;margin-left:176pt;margin-top:626.7pt;width:31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kQGQIAAD8EAAAOAAAAZHJzL2Uyb0RvYy54bWysU8Fu2zAMvQ/YPwi6L07SLdi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vPm02L+fkohSbHFzYe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" stroked="f">
                <v:textbox style="mso-fit-shape-to-text:t" inset="0,0,0,0">
                  <w:txbxContent>
                    <w:p w14:paraId="457918CF" w14:textId="77777777" w:rsidR="00423D65" w:rsidRPr="00801D0B" w:rsidRDefault="00423D65" w:rsidP="00423D65">
                      <w:pPr>
                        <w:pStyle w:val="Caption"/>
                        <w:rPr>
                          <w:b/>
                          <w:bCs/>
                          <w:noProof/>
                          <w:color w:val="000000" w:themeColor="text1"/>
                        </w:rPr>
                      </w:pPr>
                      <w:r w:rsidRPr="00801D0B">
                        <w:rPr>
                          <w:b/>
                          <w:bCs/>
                          <w:color w:val="000000" w:themeColor="text1"/>
                        </w:rPr>
                        <w:t xml:space="preserve">ACEP's representative, </w:t>
                      </w:r>
                      <w:proofErr w:type="spellStart"/>
                      <w:r w:rsidRPr="00801D0B">
                        <w:rPr>
                          <w:b/>
                          <w:bCs/>
                          <w:color w:val="000000" w:themeColor="text1"/>
                        </w:rPr>
                        <w:t>Eliasu</w:t>
                      </w:r>
                      <w:proofErr w:type="spellEnd"/>
                      <w:r w:rsidRPr="00801D0B">
                        <w:rPr>
                          <w:b/>
                          <w:bCs/>
                          <w:color w:val="000000" w:themeColor="text1"/>
                        </w:rPr>
                        <w:t xml:space="preserve"> Ali in remarks</w:t>
                      </w:r>
                    </w:p>
                  </w:txbxContent>
                </v:textbox>
                <w10:wrap type="square"/>
              </v:shape>
            </w:pict>
          </mc:Fallback>
        </mc:AlternateContent>
      </w:r>
      <w:r w:rsidRPr="00B64E68">
        <w:rPr>
          <w:rFonts w:ascii="Times New Roman" w:hAnsi="Times New Roman" w:cs="Times New Roman"/>
          <w:noProof/>
          <w:sz w:val="24"/>
          <w:szCs w:val="24"/>
        </w:rPr>
        <w:drawing>
          <wp:anchor distT="0" distB="0" distL="114300" distR="114300" simplePos="0" relativeHeight="251668480" behindDoc="1" locked="0" layoutInCell="1" allowOverlap="1" wp14:anchorId="25C303E6" wp14:editId="4579475A">
            <wp:simplePos x="0" y="0"/>
            <wp:positionH relativeFrom="page">
              <wp:posOffset>869950</wp:posOffset>
            </wp:positionH>
            <wp:positionV relativeFrom="paragraph">
              <wp:posOffset>5035550</wp:posOffset>
            </wp:positionV>
            <wp:extent cx="2221865" cy="3098800"/>
            <wp:effectExtent l="0" t="0" r="6985" b="6350"/>
            <wp:wrapTight wrapText="bothSides">
              <wp:wrapPolygon edited="0">
                <wp:start x="0" y="0"/>
                <wp:lineTo x="0" y="21511"/>
                <wp:lineTo x="21483" y="21511"/>
                <wp:lineTo x="21483" y="0"/>
                <wp:lineTo x="0" y="0"/>
              </wp:wrapPolygon>
            </wp:wrapTight>
            <wp:docPr id="20389957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1865"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hAnsi="Times New Roman" w:cs="Times New Roman"/>
          <w:noProof/>
          <w:sz w:val="24"/>
          <w:szCs w:val="24"/>
        </w:rPr>
        <w:drawing>
          <wp:anchor distT="0" distB="0" distL="114300" distR="114300" simplePos="0" relativeHeight="251669504" behindDoc="0" locked="0" layoutInCell="1" allowOverlap="1" wp14:anchorId="58B31565" wp14:editId="6948AB64">
            <wp:simplePos x="0" y="0"/>
            <wp:positionH relativeFrom="column">
              <wp:posOffset>2228850</wp:posOffset>
            </wp:positionH>
            <wp:positionV relativeFrom="paragraph">
              <wp:posOffset>4953000</wp:posOffset>
            </wp:positionV>
            <wp:extent cx="3962400" cy="2971800"/>
            <wp:effectExtent l="0" t="0" r="0" b="0"/>
            <wp:wrapSquare wrapText="bothSides"/>
            <wp:docPr id="255284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23E40428" wp14:editId="7D802A6D">
                <wp:simplePos x="0" y="0"/>
                <wp:positionH relativeFrom="column">
                  <wp:posOffset>-114300</wp:posOffset>
                </wp:positionH>
                <wp:positionV relativeFrom="paragraph">
                  <wp:posOffset>4753610</wp:posOffset>
                </wp:positionV>
                <wp:extent cx="6534150" cy="635"/>
                <wp:effectExtent l="0" t="0" r="0" b="0"/>
                <wp:wrapTight wrapText="bothSides">
                  <wp:wrapPolygon edited="0">
                    <wp:start x="0" y="0"/>
                    <wp:lineTo x="0" y="21600"/>
                    <wp:lineTo x="21600" y="21600"/>
                    <wp:lineTo x="21600" y="0"/>
                  </wp:wrapPolygon>
                </wp:wrapTight>
                <wp:docPr id="828438813" name="Text Box 1"/>
                <wp:cNvGraphicFramePr/>
                <a:graphic xmlns:a="http://schemas.openxmlformats.org/drawingml/2006/main">
                  <a:graphicData uri="http://schemas.microsoft.com/office/word/2010/wordprocessingShape">
                    <wps:wsp>
                      <wps:cNvSpPr txBox="1"/>
                      <wps:spPr>
                        <a:xfrm>
                          <a:off x="0" y="0"/>
                          <a:ext cx="6534150" cy="635"/>
                        </a:xfrm>
                        <a:prstGeom prst="rect">
                          <a:avLst/>
                        </a:prstGeom>
                        <a:solidFill>
                          <a:prstClr val="white"/>
                        </a:solidFill>
                        <a:ln>
                          <a:noFill/>
                        </a:ln>
                      </wps:spPr>
                      <wps:txbx>
                        <w:txbxContent>
                          <w:p w14:paraId="58C74216" w14:textId="77777777" w:rsidR="00423D65" w:rsidRPr="00801D0B" w:rsidRDefault="00423D65" w:rsidP="00423D65">
                            <w:pPr>
                              <w:pStyle w:val="Caption"/>
                              <w:rPr>
                                <w:b/>
                                <w:bCs/>
                                <w:noProof/>
                                <w:color w:val="000000" w:themeColor="text1"/>
                              </w:rPr>
                            </w:pPr>
                            <w:r w:rsidRPr="00801D0B">
                              <w:rPr>
                                <w:b/>
                                <w:bCs/>
                                <w:color w:val="000000" w:themeColor="text1"/>
                              </w:rPr>
                              <w:t>Cross-section of stakeholders at the workshop in Monrovia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40428" id="_x0000_s1032" type="#_x0000_t202" style="position:absolute;left:0;text-align:left;margin-left:-9pt;margin-top:374.3pt;width:514.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RYGQIAAD8EAAAOAAAAZHJzL2Uyb0RvYy54bWysU01v2zAMvQ/YfxB0X5y0SzE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" stroked="f">
                <v:textbox style="mso-fit-shape-to-text:t" inset="0,0,0,0">
                  <w:txbxContent>
                    <w:p w14:paraId="58C74216" w14:textId="77777777" w:rsidR="00423D65" w:rsidRPr="00801D0B" w:rsidRDefault="00423D65" w:rsidP="00423D65">
                      <w:pPr>
                        <w:pStyle w:val="Caption"/>
                        <w:rPr>
                          <w:b/>
                          <w:bCs/>
                          <w:noProof/>
                          <w:color w:val="000000" w:themeColor="text1"/>
                        </w:rPr>
                      </w:pPr>
                      <w:r w:rsidRPr="00801D0B">
                        <w:rPr>
                          <w:b/>
                          <w:bCs/>
                          <w:color w:val="000000" w:themeColor="text1"/>
                        </w:rPr>
                        <w:t>Cross-section of stakeholders at the workshop in Monrovia</w:t>
                      </w:r>
                    </w:p>
                  </w:txbxContent>
                </v:textbox>
                <w10:wrap type="tight"/>
              </v:shape>
            </w:pict>
          </mc:Fallback>
        </mc:AlternateContent>
      </w:r>
      <w:r w:rsidRPr="00B64E68">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38E884C5" wp14:editId="4B3A4611">
                <wp:simplePos x="0" y="0"/>
                <wp:positionH relativeFrom="column">
                  <wp:posOffset>-114300</wp:posOffset>
                </wp:positionH>
                <wp:positionV relativeFrom="paragraph">
                  <wp:posOffset>7820660</wp:posOffset>
                </wp:positionV>
                <wp:extent cx="2221865" cy="635"/>
                <wp:effectExtent l="0" t="0" r="0" b="0"/>
                <wp:wrapTight wrapText="bothSides">
                  <wp:wrapPolygon edited="0">
                    <wp:start x="0" y="0"/>
                    <wp:lineTo x="0" y="21600"/>
                    <wp:lineTo x="21600" y="21600"/>
                    <wp:lineTo x="21600" y="0"/>
                  </wp:wrapPolygon>
                </wp:wrapTight>
                <wp:docPr id="1245491748" name="Text Box 1"/>
                <wp:cNvGraphicFramePr/>
                <a:graphic xmlns:a="http://schemas.openxmlformats.org/drawingml/2006/main">
                  <a:graphicData uri="http://schemas.microsoft.com/office/word/2010/wordprocessingShape">
                    <wps:wsp>
                      <wps:cNvSpPr txBox="1"/>
                      <wps:spPr>
                        <a:xfrm>
                          <a:off x="0" y="0"/>
                          <a:ext cx="2221865" cy="635"/>
                        </a:xfrm>
                        <a:prstGeom prst="rect">
                          <a:avLst/>
                        </a:prstGeom>
                        <a:solidFill>
                          <a:prstClr val="white"/>
                        </a:solidFill>
                        <a:ln>
                          <a:noFill/>
                        </a:ln>
                      </wps:spPr>
                      <wps:txbx>
                        <w:txbxContent>
                          <w:p w14:paraId="6697BED0" w14:textId="77777777" w:rsidR="00423D65" w:rsidRPr="00801D0B" w:rsidRDefault="00423D65" w:rsidP="00423D65">
                            <w:pPr>
                              <w:pStyle w:val="Caption"/>
                              <w:rPr>
                                <w:b/>
                                <w:bCs/>
                                <w:noProof/>
                                <w:color w:val="000000" w:themeColor="text1"/>
                              </w:rPr>
                            </w:pPr>
                            <w:r w:rsidRPr="00801D0B">
                              <w:rPr>
                                <w:b/>
                                <w:bCs/>
                                <w:color w:val="000000" w:themeColor="text1"/>
                              </w:rPr>
                              <w:t>The Head of the LEITI Secretariat, making remarks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E884C5" id="_x0000_s1033" type="#_x0000_t202" style="position:absolute;left:0;text-align:left;margin-left:-9pt;margin-top:615.8pt;width:174.9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1nGgIAAD8EAAAOAAAAZHJzL2Uyb0RvYy54bWysU8Fu2zAMvQ/YPwi6L04yN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" stroked="f">
                <v:textbox style="mso-fit-shape-to-text:t" inset="0,0,0,0">
                  <w:txbxContent>
                    <w:p w14:paraId="6697BED0" w14:textId="77777777" w:rsidR="00423D65" w:rsidRPr="00801D0B" w:rsidRDefault="00423D65" w:rsidP="00423D65">
                      <w:pPr>
                        <w:pStyle w:val="Caption"/>
                        <w:rPr>
                          <w:b/>
                          <w:bCs/>
                          <w:noProof/>
                          <w:color w:val="000000" w:themeColor="text1"/>
                        </w:rPr>
                      </w:pPr>
                      <w:r w:rsidRPr="00801D0B">
                        <w:rPr>
                          <w:b/>
                          <w:bCs/>
                          <w:color w:val="000000" w:themeColor="text1"/>
                        </w:rPr>
                        <w:t>The Head of the LEITI Secretariat, making remarks</w:t>
                      </w:r>
                    </w:p>
                  </w:txbxContent>
                </v:textbox>
                <w10:wrap type="tight"/>
              </v:shape>
            </w:pict>
          </mc:Fallback>
        </mc:AlternateContent>
      </w:r>
      <w:r w:rsidRPr="00B64E68">
        <w:rPr>
          <w:rFonts w:ascii="Times New Roman" w:hAnsi="Times New Roman" w:cs="Times New Roman"/>
          <w:noProof/>
          <w:sz w:val="24"/>
          <w:szCs w:val="24"/>
        </w:rPr>
        <w:drawing>
          <wp:anchor distT="0" distB="0" distL="114300" distR="114300" simplePos="0" relativeHeight="251667456" behindDoc="1" locked="0" layoutInCell="1" allowOverlap="1" wp14:anchorId="159EE57A" wp14:editId="0BD630FF">
            <wp:simplePos x="0" y="0"/>
            <wp:positionH relativeFrom="column">
              <wp:posOffset>-114300</wp:posOffset>
            </wp:positionH>
            <wp:positionV relativeFrom="paragraph">
              <wp:posOffset>0</wp:posOffset>
            </wp:positionV>
            <wp:extent cx="6534150" cy="4899660"/>
            <wp:effectExtent l="0" t="0" r="0" b="0"/>
            <wp:wrapTight wrapText="bothSides">
              <wp:wrapPolygon edited="0">
                <wp:start x="0" y="0"/>
                <wp:lineTo x="0" y="21499"/>
                <wp:lineTo x="21537" y="21499"/>
                <wp:lineTo x="21537" y="0"/>
                <wp:lineTo x="0" y="0"/>
              </wp:wrapPolygon>
            </wp:wrapTight>
            <wp:docPr id="12273023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489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DFA15" w14:textId="75D56582" w:rsidR="009B55AE" w:rsidRPr="009B55AE" w:rsidRDefault="009B55AE" w:rsidP="009B55A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B55AE">
        <w:rPr>
          <w:rFonts w:ascii="Times New Roman" w:eastAsia="Times New Roman" w:hAnsi="Times New Roman" w:cs="Times New Roman"/>
          <w:color w:val="000000" w:themeColor="text1"/>
          <w:sz w:val="24"/>
          <w:szCs w:val="24"/>
        </w:rPr>
        <w:lastRenderedPageBreak/>
        <w:t xml:space="preserve">The LEITI Secretariat, as part of its MSG-approved work plan and to strengthen staff capacity to address the new 2023 EITI Standard, with funding from GIZ Liberia, sent two </w:t>
      </w:r>
      <w:r w:rsidR="00614DB2">
        <w:rPr>
          <w:rFonts w:ascii="Times New Roman" w:eastAsia="Times New Roman" w:hAnsi="Times New Roman" w:cs="Times New Roman"/>
          <w:color w:val="000000" w:themeColor="text1"/>
          <w:sz w:val="24"/>
          <w:szCs w:val="24"/>
        </w:rPr>
        <w:t>staff members</w:t>
      </w:r>
      <w:r w:rsidRPr="009B55AE">
        <w:rPr>
          <w:rFonts w:ascii="Times New Roman" w:eastAsia="Times New Roman" w:hAnsi="Times New Roman" w:cs="Times New Roman"/>
          <w:color w:val="000000" w:themeColor="text1"/>
          <w:sz w:val="24"/>
          <w:szCs w:val="24"/>
        </w:rPr>
        <w:t xml:space="preserve"> for short-term international capacity-building in Ghana and Kenya. J. Elijah J. Kai, Sector/Industry Analyst, and Francis Kettor, Procurement Officer, benefited from the staff capacity building program. Elijah Kai attended a Data Analysis and Management training course using advanced Excel at </w:t>
      </w:r>
      <w:proofErr w:type="spellStart"/>
      <w:r w:rsidRPr="009B55AE">
        <w:rPr>
          <w:rFonts w:ascii="Times New Roman" w:eastAsia="Times New Roman" w:hAnsi="Times New Roman" w:cs="Times New Roman"/>
          <w:color w:val="000000" w:themeColor="text1"/>
          <w:sz w:val="24"/>
          <w:szCs w:val="24"/>
        </w:rPr>
        <w:t>Eriches</w:t>
      </w:r>
      <w:proofErr w:type="spellEnd"/>
      <w:r w:rsidRPr="009B55AE">
        <w:rPr>
          <w:rFonts w:ascii="Times New Roman" w:eastAsia="Times New Roman" w:hAnsi="Times New Roman" w:cs="Times New Roman"/>
          <w:color w:val="000000" w:themeColor="text1"/>
          <w:sz w:val="24"/>
          <w:szCs w:val="24"/>
        </w:rPr>
        <w:t xml:space="preserve"> Consult Limited in Nairobi, Kenya. At the same time, Francis Kettor obtained a certificate in proposal and contract negotiations from the Ghana Institute of Management and Public Administration (GIMPA). With support from the Government of Liberia, four staff members earned professional diplomas in Procurement and Supply Chain Management (Cythia Freeman), Monitoring and Evaluation (Cathrine Leon), Human Resource Management (Emmanuel K. White), and ICT (Kelvin Benson) from the African Methodist Episcopal University and Blue Crest University, respectively. </w:t>
      </w:r>
    </w:p>
    <w:p w14:paraId="00CFBD77" w14:textId="77777777" w:rsidR="009B55AE" w:rsidRPr="009B55AE" w:rsidRDefault="009B55AE" w:rsidP="009B55A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3CA43CCC" w14:textId="4E9F71E0" w:rsidR="009B55AE" w:rsidRDefault="009B55AE" w:rsidP="009B55A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B55AE">
        <w:rPr>
          <w:rFonts w:ascii="Times New Roman" w:eastAsia="Times New Roman" w:hAnsi="Times New Roman" w:cs="Times New Roman"/>
          <w:color w:val="000000" w:themeColor="text1"/>
          <w:sz w:val="24"/>
          <w:szCs w:val="24"/>
        </w:rPr>
        <w:t>The training aims to strengthen the selected staff's skills in data analysis/management</w:t>
      </w:r>
      <w:r w:rsidR="00614DB2">
        <w:rPr>
          <w:rFonts w:ascii="Times New Roman" w:eastAsia="Times New Roman" w:hAnsi="Times New Roman" w:cs="Times New Roman"/>
          <w:color w:val="000000" w:themeColor="text1"/>
          <w:sz w:val="24"/>
          <w:szCs w:val="24"/>
        </w:rPr>
        <w:t>, interpretation, contract review,</w:t>
      </w:r>
      <w:r w:rsidRPr="009B55AE">
        <w:rPr>
          <w:rFonts w:ascii="Times New Roman" w:eastAsia="Times New Roman" w:hAnsi="Times New Roman" w:cs="Times New Roman"/>
          <w:color w:val="000000" w:themeColor="text1"/>
          <w:sz w:val="24"/>
          <w:szCs w:val="24"/>
        </w:rPr>
        <w:t xml:space="preserve"> and implementation. These capacity-building activities align with our Institution's commitment to continuous learning and professional development.</w:t>
      </w:r>
    </w:p>
    <w:p w14:paraId="5B1B2163" w14:textId="77777777" w:rsidR="009B55AE" w:rsidRPr="009B55AE" w:rsidRDefault="009B55AE" w:rsidP="009B55AE">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0B1DCCF5" w14:textId="5C7D32E0" w:rsidR="009E3F83" w:rsidRPr="009B55AE" w:rsidRDefault="009B55AE" w:rsidP="00423D65">
      <w:pPr>
        <w:jc w:val="both"/>
        <w:rPr>
          <w:rFonts w:ascii="Times New Roman" w:eastAsiaTheme="minorEastAsia" w:hAnsi="Times New Roman" w:cs="Times New Roman"/>
          <w:b/>
          <w:bCs/>
          <w:i/>
          <w:iCs/>
          <w:sz w:val="16"/>
          <w:szCs w:val="16"/>
        </w:rPr>
      </w:pPr>
      <w:r>
        <w:rPr>
          <w:rFonts w:ascii="Times New Roman" w:eastAsiaTheme="minorEastAsia" w:hAnsi="Times New Roman" w:cs="Times New Roman"/>
          <w:b/>
          <w:bCs/>
          <w:noProof/>
          <w:sz w:val="24"/>
          <w:szCs w:val="24"/>
        </w:rPr>
        <w:drawing>
          <wp:anchor distT="0" distB="0" distL="114300" distR="114300" simplePos="0" relativeHeight="251698176" behindDoc="0" locked="0" layoutInCell="1" allowOverlap="1" wp14:anchorId="73140F57" wp14:editId="00DB21D2">
            <wp:simplePos x="914400" y="3892550"/>
            <wp:positionH relativeFrom="column">
              <wp:align>left</wp:align>
            </wp:positionH>
            <wp:positionV relativeFrom="paragraph">
              <wp:align>top</wp:align>
            </wp:positionV>
            <wp:extent cx="2177779" cy="1555750"/>
            <wp:effectExtent l="0" t="0" r="0" b="6350"/>
            <wp:wrapSquare wrapText="bothSides"/>
            <wp:docPr id="1422067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779" cy="1555750"/>
                    </a:xfrm>
                    <a:prstGeom prst="rect">
                      <a:avLst/>
                    </a:prstGeom>
                    <a:noFill/>
                  </pic:spPr>
                </pic:pic>
              </a:graphicData>
            </a:graphic>
          </wp:anchor>
        </w:drawing>
      </w:r>
      <w:r>
        <w:rPr>
          <w:rFonts w:ascii="Times New Roman" w:eastAsiaTheme="minorEastAsia" w:hAnsi="Times New Roman" w:cs="Times New Roman"/>
          <w:b/>
          <w:bCs/>
          <w:noProof/>
          <w:sz w:val="24"/>
          <w:szCs w:val="24"/>
        </w:rPr>
        <w:drawing>
          <wp:inline distT="0" distB="0" distL="0" distR="0" wp14:anchorId="749F108E" wp14:editId="4515A1AC">
            <wp:extent cx="2590800" cy="1491974"/>
            <wp:effectExtent l="0" t="0" r="0" b="0"/>
            <wp:docPr id="906285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0641" cy="1514918"/>
                    </a:xfrm>
                    <a:prstGeom prst="rect">
                      <a:avLst/>
                    </a:prstGeom>
                    <a:noFill/>
                  </pic:spPr>
                </pic:pic>
              </a:graphicData>
            </a:graphic>
          </wp:inline>
        </w:drawing>
      </w:r>
      <w:r>
        <w:rPr>
          <w:rFonts w:ascii="Times New Roman" w:eastAsiaTheme="minorEastAsia" w:hAnsi="Times New Roman" w:cs="Times New Roman"/>
          <w:b/>
          <w:bCs/>
          <w:sz w:val="24"/>
          <w:szCs w:val="24"/>
        </w:rPr>
        <w:br w:type="textWrapping" w:clear="all"/>
      </w:r>
      <w:r w:rsidRPr="009B55AE">
        <w:rPr>
          <w:rFonts w:ascii="Times New Roman" w:eastAsiaTheme="minorEastAsia" w:hAnsi="Times New Roman" w:cs="Times New Roman"/>
          <w:b/>
          <w:bCs/>
          <w:i/>
          <w:iCs/>
          <w:sz w:val="16"/>
          <w:szCs w:val="16"/>
        </w:rPr>
        <w:t>Francis Kettor at GIMPA</w:t>
      </w:r>
      <w:r>
        <w:rPr>
          <w:rFonts w:ascii="Times New Roman" w:eastAsiaTheme="minorEastAsia" w:hAnsi="Times New Roman" w:cs="Times New Roman"/>
          <w:b/>
          <w:bCs/>
          <w:i/>
          <w:iCs/>
          <w:sz w:val="16"/>
          <w:szCs w:val="16"/>
        </w:rPr>
        <w:tab/>
      </w:r>
      <w:r>
        <w:rPr>
          <w:rFonts w:ascii="Times New Roman" w:eastAsiaTheme="minorEastAsia" w:hAnsi="Times New Roman" w:cs="Times New Roman"/>
          <w:b/>
          <w:bCs/>
          <w:i/>
          <w:iCs/>
          <w:sz w:val="16"/>
          <w:szCs w:val="16"/>
        </w:rPr>
        <w:tab/>
      </w:r>
      <w:r>
        <w:rPr>
          <w:rFonts w:ascii="Times New Roman" w:eastAsiaTheme="minorEastAsia" w:hAnsi="Times New Roman" w:cs="Times New Roman"/>
          <w:b/>
          <w:bCs/>
          <w:i/>
          <w:iCs/>
          <w:sz w:val="16"/>
          <w:szCs w:val="16"/>
        </w:rPr>
        <w:tab/>
      </w:r>
      <w:r>
        <w:rPr>
          <w:rFonts w:ascii="Times New Roman" w:eastAsiaTheme="minorEastAsia" w:hAnsi="Times New Roman" w:cs="Times New Roman"/>
          <w:b/>
          <w:bCs/>
          <w:i/>
          <w:iCs/>
          <w:sz w:val="16"/>
          <w:szCs w:val="16"/>
        </w:rPr>
        <w:tab/>
      </w:r>
      <w:r>
        <w:rPr>
          <w:rFonts w:ascii="Times New Roman" w:eastAsiaTheme="minorEastAsia" w:hAnsi="Times New Roman" w:cs="Times New Roman"/>
          <w:b/>
          <w:bCs/>
          <w:i/>
          <w:iCs/>
          <w:sz w:val="16"/>
          <w:szCs w:val="16"/>
        </w:rPr>
        <w:tab/>
      </w:r>
      <w:r>
        <w:rPr>
          <w:rFonts w:ascii="Times New Roman" w:eastAsiaTheme="minorEastAsia" w:hAnsi="Times New Roman" w:cs="Times New Roman"/>
          <w:b/>
          <w:bCs/>
          <w:i/>
          <w:iCs/>
          <w:sz w:val="16"/>
          <w:szCs w:val="16"/>
        </w:rPr>
        <w:tab/>
      </w:r>
      <w:r w:rsidRPr="009B55AE">
        <w:rPr>
          <w:rFonts w:ascii="Times New Roman" w:eastAsiaTheme="minorEastAsia" w:hAnsi="Times New Roman" w:cs="Times New Roman"/>
          <w:b/>
          <w:bCs/>
          <w:i/>
          <w:iCs/>
          <w:sz w:val="16"/>
          <w:szCs w:val="16"/>
        </w:rPr>
        <w:t>Elijah Kai receiving his certificate in Kenya</w:t>
      </w:r>
    </w:p>
    <w:p w14:paraId="30C9D00F" w14:textId="58BAF929" w:rsidR="009B55AE" w:rsidRDefault="009B55AE" w:rsidP="00423D65">
      <w:pPr>
        <w:jc w:val="both"/>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drawing>
          <wp:inline distT="0" distB="0" distL="0" distR="0" wp14:anchorId="45B3C3CA" wp14:editId="3984F741">
            <wp:extent cx="2005965" cy="1651000"/>
            <wp:effectExtent l="0" t="0" r="0" b="6350"/>
            <wp:docPr id="1528149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5965" cy="1651000"/>
                    </a:xfrm>
                    <a:prstGeom prst="rect">
                      <a:avLst/>
                    </a:prstGeom>
                    <a:noFill/>
                  </pic:spPr>
                </pic:pic>
              </a:graphicData>
            </a:graphic>
          </wp:inline>
        </w:drawing>
      </w:r>
      <w:r>
        <w:rPr>
          <w:rFonts w:ascii="Times New Roman" w:eastAsiaTheme="minorEastAsia" w:hAnsi="Times New Roman" w:cs="Times New Roman"/>
          <w:b/>
          <w:bCs/>
          <w:noProof/>
          <w:sz w:val="24"/>
          <w:szCs w:val="24"/>
        </w:rPr>
        <w:drawing>
          <wp:inline distT="0" distB="0" distL="0" distR="0" wp14:anchorId="64D12D0E" wp14:editId="352E24E1">
            <wp:extent cx="1968500" cy="1630760"/>
            <wp:effectExtent l="0" t="0" r="0" b="7620"/>
            <wp:docPr id="9716423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8690" cy="1647486"/>
                    </a:xfrm>
                    <a:prstGeom prst="rect">
                      <a:avLst/>
                    </a:prstGeom>
                    <a:noFill/>
                  </pic:spPr>
                </pic:pic>
              </a:graphicData>
            </a:graphic>
          </wp:inline>
        </w:drawing>
      </w:r>
      <w:r>
        <w:rPr>
          <w:rFonts w:ascii="Times New Roman" w:eastAsiaTheme="minorEastAsia" w:hAnsi="Times New Roman" w:cs="Times New Roman"/>
          <w:b/>
          <w:bCs/>
          <w:noProof/>
          <w:sz w:val="24"/>
          <w:szCs w:val="24"/>
        </w:rPr>
        <w:drawing>
          <wp:inline distT="0" distB="0" distL="0" distR="0" wp14:anchorId="7BA53116" wp14:editId="4D6ED95C">
            <wp:extent cx="1969135" cy="1638300"/>
            <wp:effectExtent l="0" t="0" r="0" b="0"/>
            <wp:docPr id="2018507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9135" cy="1638300"/>
                    </a:xfrm>
                    <a:prstGeom prst="rect">
                      <a:avLst/>
                    </a:prstGeom>
                    <a:noFill/>
                  </pic:spPr>
                </pic:pic>
              </a:graphicData>
            </a:graphic>
          </wp:inline>
        </w:drawing>
      </w:r>
    </w:p>
    <w:p w14:paraId="3F1AD681" w14:textId="17147D11" w:rsidR="009E3F83" w:rsidRPr="009B55AE" w:rsidRDefault="009B55AE" w:rsidP="00423D65">
      <w:pPr>
        <w:jc w:val="both"/>
        <w:rPr>
          <w:rFonts w:ascii="Times New Roman" w:eastAsiaTheme="minorEastAsia" w:hAnsi="Times New Roman" w:cs="Times New Roman"/>
          <w:b/>
          <w:bCs/>
          <w:i/>
          <w:iCs/>
          <w:sz w:val="18"/>
          <w:szCs w:val="18"/>
        </w:rPr>
      </w:pPr>
      <w:r w:rsidRPr="009B55AE">
        <w:rPr>
          <w:rFonts w:ascii="Times New Roman" w:eastAsiaTheme="minorEastAsia" w:hAnsi="Times New Roman" w:cs="Times New Roman"/>
          <w:b/>
          <w:bCs/>
          <w:i/>
          <w:iCs/>
          <w:sz w:val="18"/>
          <w:szCs w:val="18"/>
        </w:rPr>
        <w:t>Cythia Freeman</w:t>
      </w:r>
      <w:r>
        <w:rPr>
          <w:rFonts w:ascii="Times New Roman" w:eastAsiaTheme="minorEastAsia" w:hAnsi="Times New Roman" w:cs="Times New Roman"/>
          <w:b/>
          <w:bCs/>
          <w:i/>
          <w:iCs/>
          <w:sz w:val="18"/>
          <w:szCs w:val="18"/>
        </w:rPr>
        <w:tab/>
      </w:r>
      <w:r>
        <w:rPr>
          <w:rFonts w:ascii="Times New Roman" w:eastAsiaTheme="minorEastAsia" w:hAnsi="Times New Roman" w:cs="Times New Roman"/>
          <w:b/>
          <w:bCs/>
          <w:i/>
          <w:iCs/>
          <w:sz w:val="18"/>
          <w:szCs w:val="18"/>
        </w:rPr>
        <w:tab/>
      </w:r>
      <w:r>
        <w:rPr>
          <w:rFonts w:ascii="Times New Roman" w:eastAsiaTheme="minorEastAsia" w:hAnsi="Times New Roman" w:cs="Times New Roman"/>
          <w:b/>
          <w:bCs/>
          <w:i/>
          <w:iCs/>
          <w:sz w:val="18"/>
          <w:szCs w:val="18"/>
        </w:rPr>
        <w:tab/>
      </w:r>
      <w:r>
        <w:rPr>
          <w:rFonts w:ascii="Times New Roman" w:eastAsiaTheme="minorEastAsia" w:hAnsi="Times New Roman" w:cs="Times New Roman"/>
          <w:b/>
          <w:bCs/>
          <w:i/>
          <w:iCs/>
          <w:sz w:val="18"/>
          <w:szCs w:val="18"/>
        </w:rPr>
        <w:tab/>
        <w:t>Emmanuel K. White</w:t>
      </w:r>
      <w:r>
        <w:rPr>
          <w:rFonts w:ascii="Times New Roman" w:eastAsiaTheme="minorEastAsia" w:hAnsi="Times New Roman" w:cs="Times New Roman"/>
          <w:b/>
          <w:bCs/>
          <w:i/>
          <w:iCs/>
          <w:sz w:val="18"/>
          <w:szCs w:val="18"/>
        </w:rPr>
        <w:tab/>
      </w:r>
      <w:r>
        <w:rPr>
          <w:rFonts w:ascii="Times New Roman" w:eastAsiaTheme="minorEastAsia" w:hAnsi="Times New Roman" w:cs="Times New Roman"/>
          <w:b/>
          <w:bCs/>
          <w:i/>
          <w:iCs/>
          <w:sz w:val="18"/>
          <w:szCs w:val="18"/>
        </w:rPr>
        <w:tab/>
        <w:t>Catherine Leon</w:t>
      </w:r>
    </w:p>
    <w:p w14:paraId="4155373A" w14:textId="77777777" w:rsidR="009E3F83" w:rsidRDefault="009E3F83" w:rsidP="00423D65">
      <w:pPr>
        <w:jc w:val="both"/>
        <w:rPr>
          <w:rFonts w:ascii="Times New Roman" w:eastAsiaTheme="minorEastAsia" w:hAnsi="Times New Roman" w:cs="Times New Roman"/>
          <w:b/>
          <w:bCs/>
          <w:sz w:val="24"/>
          <w:szCs w:val="24"/>
        </w:rPr>
      </w:pPr>
    </w:p>
    <w:p w14:paraId="70B2A597" w14:textId="77777777" w:rsidR="00614DB2" w:rsidRPr="00614DB2" w:rsidRDefault="00614DB2" w:rsidP="00614DB2">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614DB2">
        <w:rPr>
          <w:rFonts w:ascii="Times New Roman" w:eastAsia="Times New Roman" w:hAnsi="Times New Roman" w:cs="Times New Roman"/>
          <w:b/>
          <w:color w:val="000000" w:themeColor="text1"/>
          <w:sz w:val="24"/>
          <w:szCs w:val="24"/>
        </w:rPr>
        <w:t>LEITI Secretariat facilitates a one-day workshop on Understanding the EITI in Liberia and Beneficial Ownership</w:t>
      </w:r>
    </w:p>
    <w:p w14:paraId="10879210" w14:textId="77777777" w:rsidR="00614DB2" w:rsidRPr="00614DB2" w:rsidRDefault="00614DB2" w:rsidP="00614DB2">
      <w:pPr>
        <w:shd w:val="clear" w:color="auto" w:fill="FFFFFF"/>
        <w:spacing w:after="0" w:line="240" w:lineRule="auto"/>
        <w:jc w:val="both"/>
        <w:rPr>
          <w:rFonts w:ascii="Times New Roman" w:eastAsia="Times New Roman" w:hAnsi="Times New Roman" w:cs="Times New Roman"/>
          <w:b/>
          <w:color w:val="FFFF00"/>
          <w:sz w:val="24"/>
          <w:szCs w:val="24"/>
        </w:rPr>
      </w:pPr>
    </w:p>
    <w:p w14:paraId="3BFB1B32" w14:textId="142AB791" w:rsidR="00614DB2" w:rsidRPr="00614DB2" w:rsidRDefault="00614DB2" w:rsidP="00614DB2">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614DB2">
        <w:rPr>
          <w:rFonts w:ascii="Times New Roman" w:eastAsia="Times New Roman" w:hAnsi="Times New Roman" w:cs="Times New Roman"/>
          <w:color w:val="000000" w:themeColor="text1"/>
          <w:sz w:val="24"/>
          <w:szCs w:val="24"/>
        </w:rPr>
        <w:t xml:space="preserve">On May 30, 2025, the LEITI Secretariat brought together 40 women from 20 Civil Society Organizations to strengthen their capacity to advance advocacy on LEITI data. The workshop also </w:t>
      </w:r>
      <w:r w:rsidRPr="00614DB2">
        <w:rPr>
          <w:rFonts w:ascii="Times New Roman" w:eastAsia="Times New Roman" w:hAnsi="Times New Roman" w:cs="Times New Roman"/>
          <w:color w:val="000000" w:themeColor="text1"/>
          <w:sz w:val="24"/>
          <w:szCs w:val="24"/>
        </w:rPr>
        <w:lastRenderedPageBreak/>
        <w:t xml:space="preserve">aimed to </w:t>
      </w:r>
      <w:r>
        <w:rPr>
          <w:rFonts w:ascii="Times New Roman" w:eastAsia="Times New Roman" w:hAnsi="Times New Roman" w:cs="Times New Roman"/>
          <w:color w:val="000000" w:themeColor="text1"/>
          <w:sz w:val="24"/>
          <w:szCs w:val="24"/>
        </w:rPr>
        <w:t>increase women's participation in managing</w:t>
      </w:r>
      <w:r w:rsidRPr="00614DB2">
        <w:rPr>
          <w:rFonts w:ascii="Times New Roman" w:eastAsia="Times New Roman" w:hAnsi="Times New Roman" w:cs="Times New Roman"/>
          <w:color w:val="000000" w:themeColor="text1"/>
          <w:sz w:val="24"/>
          <w:szCs w:val="24"/>
        </w:rPr>
        <w:t xml:space="preserve"> Liberia's extractive sector and to provide a platform for more gender-responsive EITI implementation. </w:t>
      </w:r>
    </w:p>
    <w:p w14:paraId="2B4F2D86" w14:textId="77777777" w:rsidR="00614DB2" w:rsidRPr="00614DB2" w:rsidRDefault="00614DB2" w:rsidP="00614DB2">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5F40842" w14:textId="38C7FD0B" w:rsidR="00614DB2" w:rsidRPr="00614DB2" w:rsidRDefault="00614DB2" w:rsidP="00614DB2">
      <w:pPr>
        <w:shd w:val="clear" w:color="auto" w:fill="FFFFFF"/>
        <w:spacing w:after="0" w:line="240" w:lineRule="auto"/>
        <w:jc w:val="both"/>
        <w:rPr>
          <w:rFonts w:ascii="inherit" w:eastAsia="Times New Roman" w:hAnsi="inherit" w:cs="Segoe UI Historic"/>
          <w:color w:val="000000" w:themeColor="text1"/>
          <w:sz w:val="23"/>
          <w:szCs w:val="23"/>
        </w:rPr>
      </w:pPr>
      <w:r w:rsidRPr="00614DB2">
        <w:rPr>
          <w:rFonts w:ascii="Times New Roman" w:eastAsia="Times New Roman" w:hAnsi="Times New Roman" w:cs="Times New Roman"/>
          <w:color w:val="000000" w:themeColor="text1"/>
          <w:sz w:val="24"/>
          <w:szCs w:val="24"/>
        </w:rPr>
        <w:t xml:space="preserve">Topics discussed included: Understanding the EITI and a glimpse into LEITI at work; Understanding the Beneficial Ownership Concept; and how women Civil Society Organizations can use LEITI's data to strengthen advocacy. Presenters included Zaza Y. </w:t>
      </w:r>
      <w:proofErr w:type="spellStart"/>
      <w:r w:rsidRPr="00614DB2">
        <w:rPr>
          <w:rFonts w:ascii="Times New Roman" w:eastAsia="Times New Roman" w:hAnsi="Times New Roman" w:cs="Times New Roman"/>
          <w:color w:val="000000" w:themeColor="text1"/>
          <w:sz w:val="24"/>
          <w:szCs w:val="24"/>
        </w:rPr>
        <w:t>Quaqua</w:t>
      </w:r>
      <w:proofErr w:type="spellEnd"/>
      <w:r w:rsidRPr="00614DB2">
        <w:rPr>
          <w:rFonts w:ascii="Times New Roman" w:eastAsia="Times New Roman" w:hAnsi="Times New Roman" w:cs="Times New Roman"/>
          <w:color w:val="000000" w:themeColor="text1"/>
          <w:sz w:val="24"/>
          <w:szCs w:val="24"/>
        </w:rPr>
        <w:t xml:space="preserve"> (Deputy Head of the Secretariat), McDonald Socrates Kerl </w:t>
      </w:r>
      <w:r w:rsidRPr="00614DB2">
        <w:rPr>
          <w:rFonts w:ascii="inherit" w:eastAsia="Times New Roman" w:hAnsi="inherit" w:cs="Segoe UI Historic"/>
          <w:color w:val="000000" w:themeColor="text1"/>
          <w:sz w:val="23"/>
          <w:szCs w:val="23"/>
        </w:rPr>
        <w:t>(Technical Officer at the Secretariat), and Mrs. Decontee King Sackie (Former Deputy Commissioner General for Technical Services at the Liberia Revenue Authority). The key takeaway from the workshop includes the establishment of LEITI's women's advocacy platform to advance advocacy around LEITI data.</w:t>
      </w:r>
    </w:p>
    <w:p w14:paraId="0DEDBE9F" w14:textId="77777777" w:rsidR="00614DB2" w:rsidRPr="00614DB2" w:rsidRDefault="00614DB2" w:rsidP="00614DB2">
      <w:pPr>
        <w:spacing w:after="57" w:line="244" w:lineRule="auto"/>
        <w:ind w:left="10" w:right="269" w:hanging="10"/>
        <w:jc w:val="both"/>
        <w:rPr>
          <w:rFonts w:ascii="Times New Roman" w:eastAsia="Times New Roman" w:hAnsi="Times New Roman" w:cs="Times New Roman"/>
          <w:color w:val="000000"/>
          <w:sz w:val="24"/>
        </w:rPr>
      </w:pPr>
    </w:p>
    <w:p w14:paraId="719F7A0A" w14:textId="1BAB5856" w:rsidR="00614DB2" w:rsidRDefault="00614DB2" w:rsidP="00423D65">
      <w:pPr>
        <w:jc w:val="both"/>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drawing>
          <wp:inline distT="0" distB="0" distL="0" distR="0" wp14:anchorId="7AA68FDE" wp14:editId="35C90487">
            <wp:extent cx="2613660" cy="1536700"/>
            <wp:effectExtent l="0" t="0" r="0" b="6350"/>
            <wp:docPr id="1951896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0907" cy="1540961"/>
                    </a:xfrm>
                    <a:prstGeom prst="rect">
                      <a:avLst/>
                    </a:prstGeom>
                    <a:noFill/>
                  </pic:spPr>
                </pic:pic>
              </a:graphicData>
            </a:graphic>
          </wp:inline>
        </w:drawing>
      </w:r>
      <w:r>
        <w:rPr>
          <w:rFonts w:ascii="Times New Roman" w:eastAsiaTheme="minorEastAsia" w:hAnsi="Times New Roman" w:cs="Times New Roman"/>
          <w:b/>
          <w:bCs/>
          <w:noProof/>
          <w:sz w:val="24"/>
          <w:szCs w:val="24"/>
        </w:rPr>
        <w:drawing>
          <wp:inline distT="0" distB="0" distL="0" distR="0" wp14:anchorId="37D1BD0B" wp14:editId="7F24A6E1">
            <wp:extent cx="2978150" cy="1555750"/>
            <wp:effectExtent l="0" t="0" r="0" b="6350"/>
            <wp:docPr id="15892039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5246" cy="1564681"/>
                    </a:xfrm>
                    <a:prstGeom prst="rect">
                      <a:avLst/>
                    </a:prstGeom>
                    <a:noFill/>
                  </pic:spPr>
                </pic:pic>
              </a:graphicData>
            </a:graphic>
          </wp:inline>
        </w:drawing>
      </w:r>
    </w:p>
    <w:p w14:paraId="0E5A7EAA" w14:textId="25B695AF" w:rsidR="00614DB2" w:rsidRPr="00614DB2" w:rsidRDefault="00614DB2" w:rsidP="00423D65">
      <w:pPr>
        <w:jc w:val="both"/>
        <w:rPr>
          <w:rFonts w:ascii="Times New Roman" w:eastAsiaTheme="minorEastAsia" w:hAnsi="Times New Roman" w:cs="Times New Roman"/>
          <w:b/>
          <w:bCs/>
          <w:i/>
          <w:iCs/>
          <w:sz w:val="18"/>
          <w:szCs w:val="18"/>
        </w:rPr>
      </w:pPr>
      <w:r w:rsidRPr="00614DB2">
        <w:rPr>
          <w:rFonts w:ascii="Times New Roman" w:eastAsiaTheme="minorEastAsia" w:hAnsi="Times New Roman" w:cs="Times New Roman"/>
          <w:b/>
          <w:bCs/>
          <w:i/>
          <w:iCs/>
          <w:sz w:val="18"/>
          <w:szCs w:val="18"/>
        </w:rPr>
        <w:t>Pictorial highlights from the workshop</w:t>
      </w:r>
    </w:p>
    <w:p w14:paraId="4E5840DB" w14:textId="77777777" w:rsidR="00614DB2" w:rsidRPr="00614DB2" w:rsidRDefault="00614DB2" w:rsidP="00614DB2">
      <w:pPr>
        <w:spacing w:after="57" w:line="360" w:lineRule="auto"/>
        <w:ind w:left="10" w:right="269" w:hanging="10"/>
        <w:jc w:val="both"/>
        <w:rPr>
          <w:rFonts w:ascii="Times New Roman" w:eastAsia="Times New Roman" w:hAnsi="Times New Roman" w:cs="Times New Roman"/>
          <w:b/>
          <w:color w:val="333333"/>
          <w:spacing w:val="-4"/>
          <w:sz w:val="24"/>
          <w:szCs w:val="24"/>
        </w:rPr>
      </w:pPr>
      <w:r w:rsidRPr="00614DB2">
        <w:rPr>
          <w:rFonts w:ascii="Times New Roman" w:eastAsia="Times New Roman" w:hAnsi="Times New Roman" w:cs="Times New Roman"/>
          <w:b/>
          <w:color w:val="333333"/>
          <w:spacing w:val="-4"/>
          <w:sz w:val="24"/>
          <w:szCs w:val="24"/>
        </w:rPr>
        <w:t>LEITI facilitates a two-day engagement with Community-Based Civil Society Organizations in Bong and Nimba counties</w:t>
      </w:r>
    </w:p>
    <w:p w14:paraId="2ABCDE5D" w14:textId="77777777" w:rsidR="00614DB2" w:rsidRPr="00614DB2" w:rsidRDefault="00614DB2" w:rsidP="00614DB2">
      <w:pPr>
        <w:spacing w:after="57" w:line="240" w:lineRule="auto"/>
        <w:ind w:right="269"/>
        <w:jc w:val="both"/>
        <w:rPr>
          <w:rFonts w:ascii="Times New Roman" w:eastAsia="Times New Roman" w:hAnsi="Times New Roman" w:cs="Times New Roman"/>
          <w:spacing w:val="-4"/>
          <w:sz w:val="24"/>
          <w:szCs w:val="24"/>
        </w:rPr>
      </w:pPr>
      <w:r w:rsidRPr="00614DB2">
        <w:rPr>
          <w:rFonts w:ascii="Times New Roman" w:eastAsia="Times New Roman" w:hAnsi="Times New Roman" w:cs="Times New Roman"/>
          <w:spacing w:val="-4"/>
          <w:sz w:val="24"/>
          <w:szCs w:val="24"/>
        </w:rPr>
        <w:t>The 2023 EITI Standard requires implementing countries to engage CSOs beyond the MSG. The LEITI, in its usual effort to comply with the Standard, organized a two-day engagement with county-based CSOs in Bong and Nimba Counties to enable CSOs and the media to discuss how EITI data is relevant to their work on advocacy, civic engagement, and policy reform. The objective was to ensure stakeholders had access to and used EITI data for advocacy, to provide data-driven insights into the extractive sector, and to communicate real-time data to policymakers and communities affected by extractive sector operations. The dialogue sought to highlight the significant role CSOs and the media can play in engaging citizens using EITI data. The dialogue also provided a platform for CSOs to discuss Beneficial Ownership and Contract Transparency, social contributions, and the approaches LEITI could take to strengthen its anti-corruption drive under the new 2023 EITI Standard.</w:t>
      </w:r>
    </w:p>
    <w:p w14:paraId="2AAB503B" w14:textId="77777777" w:rsidR="00614DB2" w:rsidRPr="00614DB2" w:rsidRDefault="00614DB2" w:rsidP="00614DB2">
      <w:pPr>
        <w:spacing w:after="57" w:line="240" w:lineRule="auto"/>
        <w:ind w:left="10" w:right="269" w:hanging="10"/>
        <w:jc w:val="both"/>
        <w:rPr>
          <w:rFonts w:ascii="Times New Roman" w:eastAsia="Times New Roman" w:hAnsi="Times New Roman" w:cs="Times New Roman"/>
          <w:color w:val="000000"/>
          <w:sz w:val="24"/>
        </w:rPr>
      </w:pPr>
    </w:p>
    <w:p w14:paraId="390E3276" w14:textId="4C440526" w:rsidR="00614DB2" w:rsidRDefault="00F80ADB" w:rsidP="00423D65">
      <w:pPr>
        <w:jc w:val="both"/>
        <w:rPr>
          <w:rFonts w:ascii="Times New Roman" w:eastAsiaTheme="minorEastAsia" w:hAnsi="Times New Roman" w:cs="Times New Roman"/>
          <w:b/>
          <w:bCs/>
          <w:sz w:val="24"/>
          <w:szCs w:val="24"/>
        </w:rPr>
      </w:pPr>
      <w:r>
        <w:rPr>
          <w:rFonts w:ascii="Times New Roman" w:eastAsiaTheme="minorEastAsia" w:hAnsi="Times New Roman" w:cs="Times New Roman"/>
          <w:b/>
          <w:bCs/>
          <w:noProof/>
          <w:sz w:val="24"/>
          <w:szCs w:val="24"/>
        </w:rPr>
        <w:drawing>
          <wp:inline distT="0" distB="0" distL="0" distR="0" wp14:anchorId="454B29ED" wp14:editId="14FF0273">
            <wp:extent cx="2552700" cy="1193800"/>
            <wp:effectExtent l="0" t="0" r="0" b="6350"/>
            <wp:docPr id="1710430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3199" cy="1198710"/>
                    </a:xfrm>
                    <a:prstGeom prst="rect">
                      <a:avLst/>
                    </a:prstGeom>
                    <a:noFill/>
                  </pic:spPr>
                </pic:pic>
              </a:graphicData>
            </a:graphic>
          </wp:inline>
        </w:drawing>
      </w:r>
      <w:r>
        <w:rPr>
          <w:rFonts w:ascii="Times New Roman" w:eastAsiaTheme="minorEastAsia" w:hAnsi="Times New Roman" w:cs="Times New Roman"/>
          <w:b/>
          <w:bCs/>
          <w:noProof/>
          <w:sz w:val="24"/>
          <w:szCs w:val="24"/>
        </w:rPr>
        <w:drawing>
          <wp:inline distT="0" distB="0" distL="0" distR="0" wp14:anchorId="556F61E2" wp14:editId="3A5F968D">
            <wp:extent cx="2787650" cy="1208405"/>
            <wp:effectExtent l="0" t="0" r="0" b="0"/>
            <wp:docPr id="764360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8094" cy="1217267"/>
                    </a:xfrm>
                    <a:prstGeom prst="rect">
                      <a:avLst/>
                    </a:prstGeom>
                    <a:noFill/>
                  </pic:spPr>
                </pic:pic>
              </a:graphicData>
            </a:graphic>
          </wp:inline>
        </w:drawing>
      </w:r>
    </w:p>
    <w:p w14:paraId="74CBED37" w14:textId="77777777" w:rsidR="00614DB2" w:rsidRDefault="00614DB2" w:rsidP="00423D65">
      <w:pPr>
        <w:jc w:val="both"/>
        <w:rPr>
          <w:rFonts w:ascii="Times New Roman" w:eastAsiaTheme="minorEastAsia" w:hAnsi="Times New Roman" w:cs="Times New Roman"/>
          <w:b/>
          <w:bCs/>
          <w:sz w:val="24"/>
          <w:szCs w:val="24"/>
        </w:rPr>
      </w:pPr>
    </w:p>
    <w:p w14:paraId="6679C74B" w14:textId="77777777" w:rsidR="00F80ADB" w:rsidRPr="00F80ADB" w:rsidRDefault="00F80ADB" w:rsidP="00F80ADB">
      <w:pPr>
        <w:spacing w:after="226" w:line="244" w:lineRule="auto"/>
        <w:ind w:right="269" w:hanging="10"/>
        <w:jc w:val="both"/>
        <w:rPr>
          <w:rFonts w:ascii="Times New Roman" w:eastAsia="Times New Roman" w:hAnsi="Times New Roman" w:cs="Times New Roman"/>
          <w:b/>
          <w:color w:val="000000"/>
          <w:sz w:val="24"/>
        </w:rPr>
      </w:pPr>
      <w:r w:rsidRPr="00F80ADB">
        <w:rPr>
          <w:rFonts w:ascii="Times New Roman" w:eastAsia="Times New Roman" w:hAnsi="Times New Roman" w:cs="Times New Roman"/>
          <w:b/>
          <w:color w:val="000000"/>
          <w:sz w:val="24"/>
        </w:rPr>
        <w:lastRenderedPageBreak/>
        <w:t>Collaboration with Anti-Corruption Entities</w:t>
      </w:r>
    </w:p>
    <w:p w14:paraId="68DF8141" w14:textId="77777777" w:rsidR="00F80ADB" w:rsidRPr="00F80ADB" w:rsidRDefault="00F80ADB" w:rsidP="00F80ADB">
      <w:pPr>
        <w:spacing w:after="57" w:line="244" w:lineRule="auto"/>
        <w:ind w:left="10" w:right="269" w:hanging="10"/>
        <w:jc w:val="both"/>
        <w:rPr>
          <w:rFonts w:ascii="Times New Roman" w:eastAsia="Times New Roman" w:hAnsi="Times New Roman" w:cs="Times New Roman"/>
          <w:color w:val="000000" w:themeColor="text1"/>
          <w:sz w:val="24"/>
          <w:szCs w:val="24"/>
        </w:rPr>
      </w:pPr>
      <w:r w:rsidRPr="00F80ADB">
        <w:rPr>
          <w:rFonts w:ascii="Times New Roman" w:eastAsia="Times New Roman" w:hAnsi="Times New Roman" w:cs="Times New Roman"/>
          <w:color w:val="000000" w:themeColor="text1"/>
          <w:sz w:val="24"/>
          <w:szCs w:val="24"/>
        </w:rPr>
        <w:t>During the reporting period, LEITI continued to strengthen collaboration with accountability institutions through participation in activities marking the 2025 International Anti-Corruption Day, organized by the Liberia Anti-Corruption Commission (LACC) from December 8–9, 2025. On December 8, 2025, LEITI was represented at the National Anti-Corruption Day Symposium held in Buchanan, Grand Bassa County. The symposium brought together representatives of government institutions, the judiciary, civil society organizations, development partners, Integrity Institutions, and youth groups to discuss the theme “Uniting</w:t>
      </w:r>
      <w:r w:rsidRPr="00F80ADB">
        <w:rPr>
          <w:rFonts w:ascii="Times New Roman" w:eastAsia="Times New Roman" w:hAnsi="Times New Roman" w:cs="Times New Roman"/>
          <w:color w:val="000000" w:themeColor="text1"/>
          <w:sz w:val="24"/>
          <w:szCs w:val="24"/>
          <w:shd w:val="clear" w:color="auto" w:fill="FFFFFF"/>
        </w:rPr>
        <w:t xml:space="preserve"> with Youth Against Corruption: Installing Integrity in our Future Leaders for a Peaceful, Inclusive and Prosperous Liberia.” Discussions were also centered on</w:t>
      </w:r>
      <w:r w:rsidRPr="00F80ADB">
        <w:rPr>
          <w:rFonts w:ascii="Times New Roman" w:eastAsia="Times New Roman" w:hAnsi="Times New Roman" w:cs="Times New Roman"/>
          <w:color w:val="000000" w:themeColor="text1"/>
          <w:sz w:val="24"/>
          <w:szCs w:val="24"/>
        </w:rPr>
        <w:t xml:space="preserve"> coordination among anti-corruption and justice actors, challenges in accountability processes, and practical pathways for youth engagement. Two LEITI staff members attended the symposium, and the LEITI Admin Manager served as Rapporteur for the first session, supporting documentation of key discussions and recommendations emerging from the deliberations.</w:t>
      </w:r>
    </w:p>
    <w:p w14:paraId="616E81DD" w14:textId="77777777" w:rsidR="00F80ADB" w:rsidRPr="00F80ADB" w:rsidRDefault="00F80ADB" w:rsidP="00F80ADB">
      <w:pPr>
        <w:spacing w:after="57" w:line="244" w:lineRule="auto"/>
        <w:ind w:left="10" w:right="269" w:hanging="10"/>
        <w:jc w:val="both"/>
        <w:rPr>
          <w:rFonts w:ascii="Times New Roman" w:eastAsia="Times New Roman" w:hAnsi="Times New Roman" w:cs="Times New Roman"/>
          <w:color w:val="000000" w:themeColor="text1"/>
          <w:sz w:val="24"/>
          <w:szCs w:val="24"/>
        </w:rPr>
      </w:pPr>
    </w:p>
    <w:p w14:paraId="6778E0A9" w14:textId="77777777" w:rsidR="00F80ADB" w:rsidRPr="00F80ADB" w:rsidRDefault="00F80ADB" w:rsidP="00F80ADB">
      <w:pPr>
        <w:spacing w:after="57" w:line="244" w:lineRule="auto"/>
        <w:ind w:left="10" w:right="269" w:hanging="10"/>
        <w:jc w:val="both"/>
        <w:rPr>
          <w:rFonts w:ascii="Times New Roman" w:eastAsia="Times New Roman" w:hAnsi="Times New Roman" w:cs="Times New Roman"/>
          <w:color w:val="000000" w:themeColor="text1"/>
          <w:sz w:val="24"/>
          <w:szCs w:val="24"/>
        </w:rPr>
      </w:pPr>
      <w:r w:rsidRPr="00F80ADB">
        <w:rPr>
          <w:rFonts w:ascii="Times New Roman" w:eastAsia="Times New Roman" w:hAnsi="Times New Roman" w:cs="Times New Roman"/>
          <w:color w:val="000000" w:themeColor="text1"/>
          <w:sz w:val="24"/>
          <w:szCs w:val="24"/>
        </w:rPr>
        <w:t xml:space="preserve">The observance culminated on December 9, 2025, at the H.E. Ellen Johnson Sirleaf Ministerial Complex in Monrovia with commemorative activities comprising both outdoor and indoor programs. These included a parade, thematic presentations, anti-corruption messaging, cultural performances, and a youth-focused debate. Five LEITI staff members participated in the December 9 activities and attended both program segments, demonstrating LEITI’s continued institutional engagement in national transparency and anti-corruption initiatives. </w:t>
      </w:r>
    </w:p>
    <w:p w14:paraId="234FAA62" w14:textId="4F84D175" w:rsidR="00F80ADB" w:rsidRPr="00F80ADB" w:rsidRDefault="00F80ADB" w:rsidP="00F80ADB">
      <w:pPr>
        <w:spacing w:after="57" w:line="244" w:lineRule="auto"/>
        <w:ind w:left="10" w:right="269" w:hanging="10"/>
        <w:jc w:val="both"/>
        <w:rPr>
          <w:rFonts w:ascii="Times New Roman" w:eastAsia="Times New Roman" w:hAnsi="Times New Roman" w:cs="Times New Roman"/>
          <w:color w:val="000000"/>
          <w:sz w:val="24"/>
        </w:rPr>
      </w:pPr>
      <w:r>
        <w:rPr>
          <w:rFonts w:ascii="Times New Roman" w:eastAsia="Times New Roman" w:hAnsi="Times New Roman" w:cs="Times New Roman"/>
          <w:noProof/>
          <w:color w:val="000000"/>
          <w:sz w:val="24"/>
        </w:rPr>
        <w:drawing>
          <wp:inline distT="0" distB="0" distL="0" distR="0" wp14:anchorId="04D4DB10" wp14:editId="687D03ED">
            <wp:extent cx="1739900" cy="1447165"/>
            <wp:effectExtent l="0" t="0" r="0" b="635"/>
            <wp:docPr id="154643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57721" cy="1461988"/>
                    </a:xfrm>
                    <a:prstGeom prst="rect">
                      <a:avLst/>
                    </a:prstGeom>
                    <a:noFill/>
                  </pic:spPr>
                </pic:pic>
              </a:graphicData>
            </a:graphic>
          </wp:inline>
        </w:drawing>
      </w:r>
      <w:r>
        <w:rPr>
          <w:rFonts w:ascii="Times New Roman" w:eastAsia="Times New Roman" w:hAnsi="Times New Roman" w:cs="Times New Roman"/>
          <w:noProof/>
          <w:color w:val="000000"/>
          <w:sz w:val="24"/>
        </w:rPr>
        <w:drawing>
          <wp:inline distT="0" distB="0" distL="0" distR="0" wp14:anchorId="10588B4D" wp14:editId="0FD23475">
            <wp:extent cx="2044700" cy="1428376"/>
            <wp:effectExtent l="0" t="0" r="0" b="635"/>
            <wp:docPr id="18095895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800" cy="1443815"/>
                    </a:xfrm>
                    <a:prstGeom prst="rect">
                      <a:avLst/>
                    </a:prstGeom>
                    <a:noFill/>
                  </pic:spPr>
                </pic:pic>
              </a:graphicData>
            </a:graphic>
          </wp:inline>
        </w:drawing>
      </w:r>
      <w:r>
        <w:rPr>
          <w:rFonts w:ascii="Times New Roman" w:eastAsia="Times New Roman" w:hAnsi="Times New Roman" w:cs="Times New Roman"/>
          <w:noProof/>
          <w:color w:val="000000"/>
          <w:sz w:val="24"/>
        </w:rPr>
        <w:drawing>
          <wp:inline distT="0" distB="0" distL="0" distR="0" wp14:anchorId="1111618F" wp14:editId="63418C4B">
            <wp:extent cx="1981200" cy="1358265"/>
            <wp:effectExtent l="0" t="0" r="0" b="0"/>
            <wp:docPr id="14494166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5336" cy="1374812"/>
                    </a:xfrm>
                    <a:prstGeom prst="rect">
                      <a:avLst/>
                    </a:prstGeom>
                    <a:noFill/>
                  </pic:spPr>
                </pic:pic>
              </a:graphicData>
            </a:graphic>
          </wp:inline>
        </w:drawing>
      </w:r>
    </w:p>
    <w:p w14:paraId="0F45823D" w14:textId="3119ABBC" w:rsidR="00F80ADB" w:rsidRPr="00F80ADB" w:rsidRDefault="00F80ADB" w:rsidP="00423D65">
      <w:pPr>
        <w:jc w:val="both"/>
        <w:rPr>
          <w:rFonts w:ascii="Times New Roman" w:eastAsiaTheme="minorEastAsia" w:hAnsi="Times New Roman" w:cs="Times New Roman"/>
          <w:b/>
          <w:bCs/>
          <w:i/>
          <w:iCs/>
          <w:sz w:val="18"/>
          <w:szCs w:val="18"/>
        </w:rPr>
      </w:pPr>
      <w:r w:rsidRPr="00F80ADB">
        <w:rPr>
          <w:rFonts w:ascii="Times New Roman" w:eastAsiaTheme="minorEastAsia" w:hAnsi="Times New Roman" w:cs="Times New Roman"/>
          <w:b/>
          <w:bCs/>
          <w:i/>
          <w:iCs/>
          <w:sz w:val="18"/>
          <w:szCs w:val="18"/>
        </w:rPr>
        <w:t>LEITI Staff members</w:t>
      </w:r>
      <w:r>
        <w:rPr>
          <w:rFonts w:ascii="Times New Roman" w:eastAsiaTheme="minorEastAsia" w:hAnsi="Times New Roman" w:cs="Times New Roman"/>
          <w:b/>
          <w:bCs/>
          <w:i/>
          <w:iCs/>
          <w:sz w:val="18"/>
          <w:szCs w:val="18"/>
        </w:rPr>
        <w:t>,</w:t>
      </w:r>
      <w:r w:rsidRPr="00F80ADB">
        <w:rPr>
          <w:rFonts w:ascii="Times New Roman" w:eastAsiaTheme="minorEastAsia" w:hAnsi="Times New Roman" w:cs="Times New Roman"/>
          <w:b/>
          <w:bCs/>
          <w:i/>
          <w:iCs/>
          <w:sz w:val="18"/>
          <w:szCs w:val="18"/>
        </w:rPr>
        <w:t xml:space="preserve"> along with other participants</w:t>
      </w:r>
    </w:p>
    <w:p w14:paraId="0B29893C" w14:textId="3A23ECF0" w:rsidR="00423D65" w:rsidRPr="00B64E68" w:rsidRDefault="00423D65" w:rsidP="00423D65">
      <w:pPr>
        <w:jc w:val="both"/>
        <w:rPr>
          <w:rFonts w:ascii="Times New Roman" w:eastAsiaTheme="minorEastAsia" w:hAnsi="Times New Roman" w:cs="Times New Roman"/>
          <w:b/>
          <w:bCs/>
          <w:sz w:val="24"/>
          <w:szCs w:val="24"/>
        </w:rPr>
      </w:pPr>
      <w:r w:rsidRPr="00B64E68">
        <w:rPr>
          <w:rFonts w:ascii="Times New Roman" w:eastAsiaTheme="minorEastAsia" w:hAnsi="Times New Roman" w:cs="Times New Roman"/>
          <w:b/>
          <w:bCs/>
          <w:sz w:val="24"/>
          <w:szCs w:val="24"/>
        </w:rPr>
        <w:t>LEITI Holds Year-end Retreat in Grand Bassa</w:t>
      </w:r>
    </w:p>
    <w:p w14:paraId="4969E33C"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r w:rsidRPr="00011EA3">
        <w:rPr>
          <w:rFonts w:ascii="Times New Roman" w:eastAsia="Times New Roman" w:hAnsi="Times New Roman" w:cs="Times New Roman"/>
          <w:bCs/>
          <w:sz w:val="24"/>
          <w:szCs w:val="24"/>
          <w:lang w:val="en-LR" w:eastAsia="en-LR"/>
        </w:rPr>
        <w:t xml:space="preserve">From December 15-20, 2025, the members of the Multi-Stakeholder Group and the LEITI Secretariat staff assembled in Buchanan, Grand Bassa County, to review progress and challenges in the fiscal year 2025. During the retreat, the Multi-Stakeholder Group reviewed and approved the </w:t>
      </w:r>
      <w:hyperlink r:id="rId29" w:history="1">
        <w:r w:rsidRPr="00011EA3">
          <w:rPr>
            <w:rFonts w:ascii="Times New Roman" w:eastAsia="Times New Roman" w:hAnsi="Times New Roman" w:cs="Times New Roman"/>
            <w:bCs/>
            <w:sz w:val="24"/>
            <w:szCs w:val="24"/>
            <w:bdr w:val="none" w:sz="0" w:space="0" w:color="auto" w:frame="1"/>
            <w:lang w:val="en-LR" w:eastAsia="en-LR"/>
          </w:rPr>
          <w:t>validation</w:t>
        </w:r>
      </w:hyperlink>
      <w:r w:rsidRPr="00011EA3">
        <w:rPr>
          <w:rFonts w:ascii="Times New Roman" w:eastAsia="Times New Roman" w:hAnsi="Times New Roman" w:cs="Times New Roman"/>
          <w:bCs/>
          <w:sz w:val="24"/>
          <w:szCs w:val="24"/>
          <w:lang w:val="en-LR" w:eastAsia="en-LR"/>
        </w:rPr>
        <w:t xml:space="preserve"> templates prepared by the Secretariat; reviewed and approved the LEITI Secretariat's </w:t>
      </w:r>
      <w:hyperlink r:id="rId30" w:history="1">
        <w:r w:rsidRPr="00011EA3">
          <w:rPr>
            <w:rFonts w:ascii="Times New Roman" w:eastAsia="Times New Roman" w:hAnsi="Times New Roman" w:cs="Times New Roman"/>
            <w:bCs/>
            <w:sz w:val="24"/>
            <w:szCs w:val="24"/>
            <w:bdr w:val="none" w:sz="0" w:space="0" w:color="auto" w:frame="1"/>
            <w:lang w:val="en-LR" w:eastAsia="en-LR"/>
          </w:rPr>
          <w:t>five</w:t>
        </w:r>
      </w:hyperlink>
      <w:r w:rsidRPr="00011EA3">
        <w:rPr>
          <w:rFonts w:ascii="Times New Roman" w:eastAsia="Times New Roman" w:hAnsi="Times New Roman" w:cs="Times New Roman"/>
          <w:bCs/>
          <w:sz w:val="24"/>
          <w:szCs w:val="24"/>
          <w:lang w:val="en-LR" w:eastAsia="en-LR"/>
        </w:rPr>
        <w:t xml:space="preserve">-year </w:t>
      </w:r>
      <w:hyperlink r:id="rId31" w:history="1">
        <w:r w:rsidRPr="00011EA3">
          <w:rPr>
            <w:rFonts w:ascii="Times New Roman" w:eastAsia="Times New Roman" w:hAnsi="Times New Roman" w:cs="Times New Roman"/>
            <w:bCs/>
            <w:sz w:val="24"/>
            <w:szCs w:val="24"/>
            <w:bdr w:val="none" w:sz="0" w:space="0" w:color="auto" w:frame="1"/>
            <w:lang w:val="en-LR" w:eastAsia="en-LR"/>
          </w:rPr>
          <w:t>Strategy</w:t>
        </w:r>
      </w:hyperlink>
      <w:r w:rsidRPr="00011EA3">
        <w:rPr>
          <w:rFonts w:ascii="Times New Roman" w:eastAsia="Times New Roman" w:hAnsi="Times New Roman" w:cs="Times New Roman"/>
          <w:bCs/>
          <w:sz w:val="24"/>
          <w:szCs w:val="24"/>
          <w:lang w:val="en-LR" w:eastAsia="en-LR"/>
        </w:rPr>
        <w:t xml:space="preserve"> Plan; reviewed and approved the #2025 </w:t>
      </w:r>
      <w:hyperlink r:id="rId32" w:history="1">
        <w:r w:rsidRPr="00011EA3">
          <w:rPr>
            <w:rFonts w:ascii="Times New Roman" w:eastAsia="Times New Roman" w:hAnsi="Times New Roman" w:cs="Times New Roman"/>
            <w:bCs/>
            <w:sz w:val="24"/>
            <w:szCs w:val="24"/>
            <w:bdr w:val="none" w:sz="0" w:space="0" w:color="auto" w:frame="1"/>
            <w:lang w:val="en-LR" w:eastAsia="en-LR"/>
          </w:rPr>
          <w:t>Annual</w:t>
        </w:r>
      </w:hyperlink>
      <w:r w:rsidRPr="00011EA3">
        <w:rPr>
          <w:rFonts w:ascii="Times New Roman" w:eastAsia="Times New Roman" w:hAnsi="Times New Roman" w:cs="Times New Roman"/>
          <w:bCs/>
          <w:sz w:val="24"/>
          <w:szCs w:val="24"/>
          <w:lang w:val="en-LR" w:eastAsia="en-LR"/>
        </w:rPr>
        <w:t xml:space="preserve"> Progress Report; and agreed on their priorities for the #2026 fiscal-year work plan. The key priority areas for fiscal year 2026, unanimously agreed upon by the MSG, are: strengthening </w:t>
      </w:r>
      <w:hyperlink r:id="rId33" w:history="1">
        <w:r w:rsidRPr="00011EA3">
          <w:rPr>
            <w:rFonts w:ascii="Times New Roman" w:eastAsia="Times New Roman" w:hAnsi="Times New Roman" w:cs="Times New Roman"/>
            <w:bCs/>
            <w:sz w:val="24"/>
            <w:szCs w:val="24"/>
            <w:bdr w:val="none" w:sz="0" w:space="0" w:color="auto" w:frame="1"/>
            <w:lang w:val="en-LR" w:eastAsia="en-LR"/>
          </w:rPr>
          <w:t>Beneficial</w:t>
        </w:r>
      </w:hyperlink>
      <w:r w:rsidRPr="00011EA3">
        <w:rPr>
          <w:rFonts w:ascii="Times New Roman" w:eastAsia="Times New Roman" w:hAnsi="Times New Roman" w:cs="Times New Roman"/>
          <w:bCs/>
          <w:sz w:val="24"/>
          <w:szCs w:val="24"/>
          <w:lang w:val="en-LR" w:eastAsia="en-LR"/>
        </w:rPr>
        <w:t xml:space="preserve"> Ownership Disclosure; </w:t>
      </w:r>
      <w:hyperlink r:id="rId34" w:history="1">
        <w:r w:rsidRPr="00011EA3">
          <w:rPr>
            <w:rFonts w:ascii="Times New Roman" w:eastAsia="Times New Roman" w:hAnsi="Times New Roman" w:cs="Times New Roman"/>
            <w:bCs/>
            <w:sz w:val="24"/>
            <w:szCs w:val="24"/>
            <w:bdr w:val="none" w:sz="0" w:space="0" w:color="auto" w:frame="1"/>
            <w:lang w:val="en-LR" w:eastAsia="en-LR"/>
          </w:rPr>
          <w:t>Anti</w:t>
        </w:r>
      </w:hyperlink>
      <w:r w:rsidRPr="00011EA3">
        <w:rPr>
          <w:rFonts w:ascii="Times New Roman" w:eastAsia="Times New Roman" w:hAnsi="Times New Roman" w:cs="Times New Roman"/>
          <w:bCs/>
          <w:sz w:val="24"/>
          <w:szCs w:val="24"/>
          <w:lang w:val="en-LR" w:eastAsia="en-LR"/>
        </w:rPr>
        <w:t xml:space="preserve">-Corruption; innovative ways to strengthen </w:t>
      </w:r>
      <w:hyperlink r:id="rId35" w:history="1">
        <w:r w:rsidRPr="00011EA3">
          <w:rPr>
            <w:rFonts w:ascii="Times New Roman" w:eastAsia="Times New Roman" w:hAnsi="Times New Roman" w:cs="Times New Roman"/>
            <w:bCs/>
            <w:sz w:val="24"/>
            <w:szCs w:val="24"/>
            <w:bdr w:val="none" w:sz="0" w:space="0" w:color="auto" w:frame="1"/>
            <w:lang w:val="en-LR" w:eastAsia="en-LR"/>
          </w:rPr>
          <w:t>Contract</w:t>
        </w:r>
      </w:hyperlink>
      <w:r w:rsidRPr="00011EA3">
        <w:rPr>
          <w:rFonts w:ascii="Times New Roman" w:eastAsia="Times New Roman" w:hAnsi="Times New Roman" w:cs="Times New Roman"/>
          <w:bCs/>
          <w:sz w:val="24"/>
          <w:szCs w:val="24"/>
          <w:lang w:val="en-LR" w:eastAsia="en-LR"/>
        </w:rPr>
        <w:t xml:space="preserve"> Transparency; </w:t>
      </w:r>
      <w:hyperlink r:id="rId36" w:history="1">
        <w:r w:rsidRPr="00011EA3">
          <w:rPr>
            <w:rFonts w:ascii="Times New Roman" w:eastAsia="Times New Roman" w:hAnsi="Times New Roman" w:cs="Times New Roman"/>
            <w:bCs/>
            <w:sz w:val="24"/>
            <w:szCs w:val="24"/>
            <w:bdr w:val="none" w:sz="0" w:space="0" w:color="auto" w:frame="1"/>
            <w:lang w:val="en-LR" w:eastAsia="en-LR"/>
          </w:rPr>
          <w:t>Mainstreaming</w:t>
        </w:r>
      </w:hyperlink>
      <w:r w:rsidRPr="00011EA3">
        <w:rPr>
          <w:rFonts w:ascii="Times New Roman" w:eastAsia="Times New Roman" w:hAnsi="Times New Roman" w:cs="Times New Roman"/>
          <w:bCs/>
          <w:sz w:val="24"/>
          <w:szCs w:val="24"/>
          <w:lang w:val="en-LR" w:eastAsia="en-LR"/>
        </w:rPr>
        <w:t xml:space="preserve"> the EITI process in Liberia; </w:t>
      </w:r>
      <w:hyperlink r:id="rId37" w:history="1">
        <w:r w:rsidRPr="00011EA3">
          <w:rPr>
            <w:rFonts w:ascii="Times New Roman" w:eastAsia="Times New Roman" w:hAnsi="Times New Roman" w:cs="Times New Roman"/>
            <w:bCs/>
            <w:sz w:val="24"/>
            <w:szCs w:val="24"/>
            <w:bdr w:val="none" w:sz="0" w:space="0" w:color="auto" w:frame="1"/>
            <w:lang w:val="en-LR" w:eastAsia="en-LR"/>
          </w:rPr>
          <w:t>Communications</w:t>
        </w:r>
      </w:hyperlink>
      <w:r w:rsidRPr="00011EA3">
        <w:rPr>
          <w:rFonts w:ascii="Times New Roman" w:eastAsia="Times New Roman" w:hAnsi="Times New Roman" w:cs="Times New Roman"/>
          <w:bCs/>
          <w:sz w:val="24"/>
          <w:szCs w:val="24"/>
          <w:lang w:val="en-LR" w:eastAsia="en-LR"/>
        </w:rPr>
        <w:t xml:space="preserve"> and Public awareness, </w:t>
      </w:r>
      <w:hyperlink r:id="rId38" w:history="1">
        <w:r w:rsidRPr="00011EA3">
          <w:rPr>
            <w:rFonts w:ascii="Times New Roman" w:eastAsia="Times New Roman" w:hAnsi="Times New Roman" w:cs="Times New Roman"/>
            <w:bCs/>
            <w:sz w:val="24"/>
            <w:szCs w:val="24"/>
            <w:bdr w:val="none" w:sz="0" w:space="0" w:color="auto" w:frame="1"/>
            <w:lang w:val="en-LR" w:eastAsia="en-LR"/>
          </w:rPr>
          <w:t>Simplifying</w:t>
        </w:r>
      </w:hyperlink>
      <w:r w:rsidRPr="00011EA3">
        <w:rPr>
          <w:rFonts w:ascii="Times New Roman" w:eastAsia="Times New Roman" w:hAnsi="Times New Roman" w:cs="Times New Roman"/>
          <w:bCs/>
          <w:sz w:val="24"/>
          <w:szCs w:val="24"/>
          <w:lang w:val="en-LR" w:eastAsia="en-LR"/>
        </w:rPr>
        <w:t xml:space="preserve"> and improving the accessibility of LEITI data for better understanding; </w:t>
      </w:r>
      <w:hyperlink r:id="rId39" w:history="1">
        <w:r w:rsidRPr="00011EA3">
          <w:rPr>
            <w:rFonts w:ascii="Times New Roman" w:eastAsia="Times New Roman" w:hAnsi="Times New Roman" w:cs="Times New Roman"/>
            <w:bCs/>
            <w:sz w:val="24"/>
            <w:szCs w:val="24"/>
            <w:bdr w:val="none" w:sz="0" w:space="0" w:color="auto" w:frame="1"/>
            <w:lang w:val="en-LR" w:eastAsia="en-LR"/>
          </w:rPr>
          <w:t>Improving</w:t>
        </w:r>
      </w:hyperlink>
      <w:r w:rsidRPr="00011EA3">
        <w:rPr>
          <w:rFonts w:ascii="Times New Roman" w:eastAsia="Times New Roman" w:hAnsi="Times New Roman" w:cs="Times New Roman"/>
          <w:bCs/>
          <w:sz w:val="24"/>
          <w:szCs w:val="24"/>
          <w:lang w:val="en-LR" w:eastAsia="en-LR"/>
        </w:rPr>
        <w:t xml:space="preserve"> disclosure and transparency around </w:t>
      </w:r>
      <w:hyperlink r:id="rId40" w:history="1">
        <w:r w:rsidRPr="00011EA3">
          <w:rPr>
            <w:rFonts w:ascii="Times New Roman" w:eastAsia="Times New Roman" w:hAnsi="Times New Roman" w:cs="Times New Roman"/>
            <w:bCs/>
            <w:sz w:val="24"/>
            <w:szCs w:val="24"/>
            <w:bdr w:val="none" w:sz="0" w:space="0" w:color="auto" w:frame="1"/>
            <w:lang w:val="en-LR" w:eastAsia="en-LR"/>
          </w:rPr>
          <w:t>Artisanal</w:t>
        </w:r>
      </w:hyperlink>
      <w:r w:rsidRPr="00011EA3">
        <w:rPr>
          <w:rFonts w:ascii="Times New Roman" w:eastAsia="Times New Roman" w:hAnsi="Times New Roman" w:cs="Times New Roman"/>
          <w:bCs/>
          <w:sz w:val="24"/>
          <w:szCs w:val="24"/>
          <w:lang w:val="en-LR" w:eastAsia="en-LR"/>
        </w:rPr>
        <w:t xml:space="preserve"> and Small Scale Mining, and strengthening engagement with the </w:t>
      </w:r>
      <w:hyperlink r:id="rId41" w:history="1">
        <w:r w:rsidRPr="00011EA3">
          <w:rPr>
            <w:rFonts w:ascii="Times New Roman" w:eastAsia="Times New Roman" w:hAnsi="Times New Roman" w:cs="Times New Roman"/>
            <w:bCs/>
            <w:sz w:val="24"/>
            <w:szCs w:val="24"/>
            <w:bdr w:val="none" w:sz="0" w:space="0" w:color="auto" w:frame="1"/>
            <w:lang w:val="en-LR" w:eastAsia="en-LR"/>
          </w:rPr>
          <w:t>National</w:t>
        </w:r>
      </w:hyperlink>
      <w:r w:rsidRPr="00011EA3">
        <w:rPr>
          <w:rFonts w:ascii="Times New Roman" w:eastAsia="Times New Roman" w:hAnsi="Times New Roman" w:cs="Times New Roman"/>
          <w:bCs/>
          <w:sz w:val="24"/>
          <w:szCs w:val="24"/>
          <w:lang w:val="en-LR" w:eastAsia="en-LR"/>
        </w:rPr>
        <w:t xml:space="preserve"> Legislature. </w:t>
      </w:r>
      <w:r w:rsidRPr="00011EA3">
        <w:rPr>
          <w:rFonts w:ascii="Times New Roman" w:eastAsia="Times New Roman" w:hAnsi="Times New Roman" w:cs="Times New Roman"/>
          <w:bCs/>
          <w:sz w:val="24"/>
          <w:szCs w:val="24"/>
          <w:lang w:val="en-LR" w:eastAsia="en-LR"/>
        </w:rPr>
        <w:lastRenderedPageBreak/>
        <w:t xml:space="preserve">These priority areas align with the Government of Liberia ARREST Agenda and the 2023 EITI Standard. </w:t>
      </w:r>
    </w:p>
    <w:p w14:paraId="7E3F627D"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p>
    <w:p w14:paraId="60B2529D"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r w:rsidRPr="00011EA3">
        <w:rPr>
          <w:rFonts w:ascii="Times New Roman" w:eastAsia="Times New Roman" w:hAnsi="Times New Roman" w:cs="Times New Roman"/>
          <w:bCs/>
          <w:sz w:val="24"/>
          <w:szCs w:val="24"/>
          <w:lang w:val="en-LR" w:eastAsia="en-LR"/>
        </w:rPr>
        <w:t xml:space="preserve">During the week of the retreat, the LEITI Secretariat hosted a </w:t>
      </w:r>
      <w:hyperlink r:id="rId42" w:history="1">
        <w:r w:rsidRPr="00011EA3">
          <w:rPr>
            <w:rFonts w:ascii="Times New Roman" w:eastAsia="Times New Roman" w:hAnsi="Times New Roman" w:cs="Times New Roman"/>
            <w:bCs/>
            <w:sz w:val="24"/>
            <w:szCs w:val="24"/>
            <w:bdr w:val="none" w:sz="0" w:space="0" w:color="auto" w:frame="1"/>
            <w:lang w:val="en-LR" w:eastAsia="en-LR"/>
          </w:rPr>
          <w:t>debate</w:t>
        </w:r>
      </w:hyperlink>
      <w:r w:rsidRPr="00011EA3">
        <w:rPr>
          <w:rFonts w:ascii="Times New Roman" w:eastAsia="Times New Roman" w:hAnsi="Times New Roman" w:cs="Times New Roman"/>
          <w:bCs/>
          <w:sz w:val="24"/>
          <w:szCs w:val="24"/>
          <w:lang w:val="en-LR" w:eastAsia="en-LR"/>
        </w:rPr>
        <w:t xml:space="preserve"> between the </w:t>
      </w:r>
      <w:hyperlink r:id="rId43" w:history="1">
        <w:r w:rsidRPr="00011EA3">
          <w:rPr>
            <w:rFonts w:ascii="Times New Roman" w:eastAsia="Times New Roman" w:hAnsi="Times New Roman" w:cs="Times New Roman"/>
            <w:bCs/>
            <w:sz w:val="24"/>
            <w:szCs w:val="24"/>
            <w:bdr w:val="none" w:sz="0" w:space="0" w:color="auto" w:frame="1"/>
            <w:lang w:val="en-LR" w:eastAsia="en-LR"/>
          </w:rPr>
          <w:t>Buchanan</w:t>
        </w:r>
      </w:hyperlink>
      <w:r w:rsidRPr="00011EA3">
        <w:rPr>
          <w:rFonts w:ascii="Times New Roman" w:eastAsia="Times New Roman" w:hAnsi="Times New Roman" w:cs="Times New Roman"/>
          <w:bCs/>
          <w:sz w:val="24"/>
          <w:szCs w:val="24"/>
          <w:lang w:val="en-LR" w:eastAsia="en-LR"/>
        </w:rPr>
        <w:t xml:space="preserve"> Open Bible Standard School and the </w:t>
      </w:r>
      <w:hyperlink r:id="rId44" w:history="1">
        <w:proofErr w:type="spellStart"/>
        <w:r w:rsidRPr="00011EA3">
          <w:rPr>
            <w:rFonts w:ascii="Times New Roman" w:eastAsia="Times New Roman" w:hAnsi="Times New Roman" w:cs="Times New Roman"/>
            <w:bCs/>
            <w:sz w:val="24"/>
            <w:szCs w:val="24"/>
            <w:bdr w:val="none" w:sz="0" w:space="0" w:color="auto" w:frame="1"/>
            <w:lang w:val="en-LR" w:eastAsia="en-LR"/>
          </w:rPr>
          <w:t>Kpanay</w:t>
        </w:r>
        <w:proofErr w:type="spellEnd"/>
      </w:hyperlink>
      <w:r w:rsidRPr="00011EA3">
        <w:rPr>
          <w:rFonts w:ascii="Times New Roman" w:eastAsia="Times New Roman" w:hAnsi="Times New Roman" w:cs="Times New Roman"/>
          <w:bCs/>
          <w:sz w:val="24"/>
          <w:szCs w:val="24"/>
          <w:lang w:val="en-LR" w:eastAsia="en-LR"/>
        </w:rPr>
        <w:t xml:space="preserve"> Town Public High School on the topic: </w:t>
      </w:r>
      <w:hyperlink r:id="rId45" w:history="1">
        <w:r w:rsidRPr="00011EA3">
          <w:rPr>
            <w:rFonts w:ascii="Times New Roman" w:eastAsia="Times New Roman" w:hAnsi="Times New Roman" w:cs="Times New Roman"/>
            <w:bCs/>
            <w:sz w:val="24"/>
            <w:szCs w:val="24"/>
            <w:bdr w:val="none" w:sz="0" w:space="0" w:color="auto" w:frame="1"/>
            <w:lang w:val="en-LR" w:eastAsia="en-LR"/>
          </w:rPr>
          <w:t>Does</w:t>
        </w:r>
      </w:hyperlink>
      <w:r w:rsidRPr="00011EA3">
        <w:rPr>
          <w:rFonts w:ascii="Times New Roman" w:eastAsia="Times New Roman" w:hAnsi="Times New Roman" w:cs="Times New Roman"/>
          <w:bCs/>
          <w:sz w:val="24"/>
          <w:szCs w:val="24"/>
          <w:lang w:val="en-LR" w:eastAsia="en-LR"/>
        </w:rPr>
        <w:t xml:space="preserve"> revealing ultimate beneficial owners of extractive companies curtail illicit financial flows in the extractive sector? The Buchanan Open Bible Standard School supported the motion, while </w:t>
      </w:r>
      <w:proofErr w:type="spellStart"/>
      <w:r w:rsidRPr="00011EA3">
        <w:rPr>
          <w:rFonts w:ascii="Times New Roman" w:eastAsia="Times New Roman" w:hAnsi="Times New Roman" w:cs="Times New Roman"/>
          <w:bCs/>
          <w:sz w:val="24"/>
          <w:szCs w:val="24"/>
          <w:lang w:val="en-LR" w:eastAsia="en-LR"/>
        </w:rPr>
        <w:t>Kpanay</w:t>
      </w:r>
      <w:proofErr w:type="spellEnd"/>
      <w:r w:rsidRPr="00011EA3">
        <w:rPr>
          <w:rFonts w:ascii="Times New Roman" w:eastAsia="Times New Roman" w:hAnsi="Times New Roman" w:cs="Times New Roman"/>
          <w:bCs/>
          <w:sz w:val="24"/>
          <w:szCs w:val="24"/>
          <w:lang w:val="en-LR" w:eastAsia="en-LR"/>
        </w:rPr>
        <w:t xml:space="preserve"> Town Public High School opposed it. Buchanan Open Bible Standard School won the debate with 87%, while </w:t>
      </w:r>
      <w:proofErr w:type="spellStart"/>
      <w:r w:rsidRPr="00011EA3">
        <w:rPr>
          <w:rFonts w:ascii="Times New Roman" w:eastAsia="Times New Roman" w:hAnsi="Times New Roman" w:cs="Times New Roman"/>
          <w:bCs/>
          <w:sz w:val="24"/>
          <w:szCs w:val="24"/>
          <w:lang w:val="en-LR" w:eastAsia="en-LR"/>
        </w:rPr>
        <w:t>Kpanay</w:t>
      </w:r>
      <w:proofErr w:type="spellEnd"/>
      <w:r w:rsidRPr="00011EA3">
        <w:rPr>
          <w:rFonts w:ascii="Times New Roman" w:eastAsia="Times New Roman" w:hAnsi="Times New Roman" w:cs="Times New Roman"/>
          <w:bCs/>
          <w:sz w:val="24"/>
          <w:szCs w:val="24"/>
          <w:lang w:val="en-LR" w:eastAsia="en-LR"/>
        </w:rPr>
        <w:t xml:space="preserve"> Town Public High School had 71%.</w:t>
      </w:r>
    </w:p>
    <w:p w14:paraId="34183EF5"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p>
    <w:p w14:paraId="21340264"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r w:rsidRPr="00011EA3">
        <w:rPr>
          <w:rFonts w:ascii="Times New Roman" w:eastAsia="Times New Roman" w:hAnsi="Times New Roman" w:cs="Times New Roman"/>
          <w:bCs/>
          <w:sz w:val="24"/>
          <w:szCs w:val="24"/>
          <w:lang w:val="en-LR" w:eastAsia="en-LR"/>
        </w:rPr>
        <w:t xml:space="preserve">The LEITI Secretariat also visited the </w:t>
      </w:r>
      <w:proofErr w:type="spellStart"/>
      <w:r w:rsidRPr="00011EA3">
        <w:rPr>
          <w:rFonts w:ascii="Times New Roman" w:eastAsia="Times New Roman" w:hAnsi="Times New Roman" w:cs="Times New Roman"/>
          <w:bCs/>
          <w:sz w:val="24"/>
          <w:szCs w:val="24"/>
          <w:lang w:val="en-LR" w:eastAsia="en-LR"/>
        </w:rPr>
        <w:t>Harlandsville</w:t>
      </w:r>
      <w:proofErr w:type="spellEnd"/>
      <w:r w:rsidRPr="00011EA3">
        <w:rPr>
          <w:rFonts w:ascii="Times New Roman" w:eastAsia="Times New Roman" w:hAnsi="Times New Roman" w:cs="Times New Roman"/>
          <w:bCs/>
          <w:sz w:val="24"/>
          <w:szCs w:val="24"/>
          <w:lang w:val="en-LR" w:eastAsia="en-LR"/>
        </w:rPr>
        <w:t xml:space="preserve"> Interactive Forum and disseminated key findings from its recently released 16th </w:t>
      </w:r>
      <w:hyperlink r:id="rId46" w:history="1">
        <w:r w:rsidRPr="00011EA3">
          <w:rPr>
            <w:rFonts w:ascii="Times New Roman" w:eastAsia="Times New Roman" w:hAnsi="Times New Roman" w:cs="Times New Roman"/>
            <w:bCs/>
            <w:sz w:val="24"/>
            <w:szCs w:val="24"/>
            <w:bdr w:val="none" w:sz="0" w:space="0" w:color="auto" w:frame="1"/>
            <w:lang w:val="en-LR" w:eastAsia="en-LR"/>
          </w:rPr>
          <w:t>EITI</w:t>
        </w:r>
      </w:hyperlink>
      <w:r w:rsidRPr="00011EA3">
        <w:rPr>
          <w:rFonts w:ascii="Times New Roman" w:eastAsia="Times New Roman" w:hAnsi="Times New Roman" w:cs="Times New Roman"/>
          <w:bCs/>
          <w:sz w:val="24"/>
          <w:szCs w:val="24"/>
          <w:lang w:val="en-LR" w:eastAsia="en-LR"/>
        </w:rPr>
        <w:t xml:space="preserve"> Report. Participants were highly engaged and encouraged the LEITI Secretariat to regularly visit the county and </w:t>
      </w:r>
      <w:proofErr w:type="spellStart"/>
      <w:r w:rsidRPr="00011EA3">
        <w:rPr>
          <w:rFonts w:ascii="Times New Roman" w:eastAsia="Times New Roman" w:hAnsi="Times New Roman" w:cs="Times New Roman"/>
          <w:bCs/>
          <w:sz w:val="24"/>
          <w:szCs w:val="24"/>
          <w:lang w:val="en-LR" w:eastAsia="en-LR"/>
        </w:rPr>
        <w:t>center</w:t>
      </w:r>
      <w:proofErr w:type="spellEnd"/>
      <w:r w:rsidRPr="00011EA3">
        <w:rPr>
          <w:rFonts w:ascii="Times New Roman" w:eastAsia="Times New Roman" w:hAnsi="Times New Roman" w:cs="Times New Roman"/>
          <w:bCs/>
          <w:sz w:val="24"/>
          <w:szCs w:val="24"/>
          <w:lang w:val="en-LR" w:eastAsia="en-LR"/>
        </w:rPr>
        <w:t xml:space="preserve"> to provide key data on extractive companies operating there. </w:t>
      </w:r>
    </w:p>
    <w:p w14:paraId="634C7172"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p>
    <w:p w14:paraId="06A90852" w14:textId="77777777" w:rsidR="00011EA3" w:rsidRPr="00011EA3" w:rsidRDefault="00011EA3" w:rsidP="00011EA3">
      <w:pPr>
        <w:shd w:val="clear" w:color="auto" w:fill="FFFFFF"/>
        <w:spacing w:after="0" w:line="240" w:lineRule="auto"/>
        <w:jc w:val="both"/>
        <w:rPr>
          <w:rFonts w:ascii="Times New Roman" w:eastAsia="Times New Roman" w:hAnsi="Times New Roman" w:cs="Times New Roman"/>
          <w:bCs/>
          <w:sz w:val="24"/>
          <w:szCs w:val="24"/>
          <w:lang w:val="en-LR" w:eastAsia="en-LR"/>
        </w:rPr>
      </w:pPr>
      <w:r w:rsidRPr="00011EA3">
        <w:rPr>
          <w:rFonts w:ascii="Times New Roman" w:eastAsia="Times New Roman" w:hAnsi="Times New Roman" w:cs="Times New Roman"/>
          <w:bCs/>
          <w:sz w:val="24"/>
          <w:szCs w:val="24"/>
          <w:lang w:val="en-LR" w:eastAsia="en-LR"/>
        </w:rPr>
        <w:t xml:space="preserve">The retreat ended with renewed </w:t>
      </w:r>
      <w:hyperlink r:id="rId47" w:history="1">
        <w:r w:rsidRPr="00011EA3">
          <w:rPr>
            <w:rFonts w:ascii="Times New Roman" w:eastAsia="Times New Roman" w:hAnsi="Times New Roman" w:cs="Times New Roman"/>
            <w:bCs/>
            <w:sz w:val="24"/>
            <w:szCs w:val="24"/>
            <w:bdr w:val="none" w:sz="0" w:space="0" w:color="auto" w:frame="1"/>
            <w:lang w:val="en-LR" w:eastAsia="en-LR"/>
          </w:rPr>
          <w:t>commitments</w:t>
        </w:r>
      </w:hyperlink>
      <w:r w:rsidRPr="00011EA3">
        <w:rPr>
          <w:rFonts w:ascii="Times New Roman" w:eastAsia="Times New Roman" w:hAnsi="Times New Roman" w:cs="Times New Roman"/>
          <w:bCs/>
          <w:sz w:val="24"/>
          <w:szCs w:val="24"/>
          <w:lang w:val="en-LR" w:eastAsia="en-LR"/>
        </w:rPr>
        <w:t xml:space="preserve"> from both the Multi-Stakeholder Group and the Secretariat staff.</w:t>
      </w:r>
    </w:p>
    <w:p w14:paraId="1DB0E677" w14:textId="6864EE39" w:rsidR="00011EA3" w:rsidRPr="00011EA3" w:rsidRDefault="005D6B9D" w:rsidP="00011EA3">
      <w:pPr>
        <w:spacing w:before="100" w:beforeAutospacing="1" w:after="100" w:afterAutospacing="1" w:line="240" w:lineRule="auto"/>
        <w:ind w:left="10" w:right="269" w:hanging="10"/>
        <w:jc w:val="both"/>
        <w:rPr>
          <w:rFonts w:ascii="Times New Roman" w:eastAsia="Times New Roman" w:hAnsi="Times New Roman" w:cs="Times New Roman"/>
          <w:bCs/>
          <w:sz w:val="24"/>
          <w:szCs w:val="24"/>
        </w:rPr>
      </w:pPr>
      <w:r>
        <w:rPr>
          <w:noProof/>
        </w:rPr>
        <w:drawing>
          <wp:inline distT="0" distB="0" distL="0" distR="0" wp14:anchorId="75B2BC34" wp14:editId="449A4286">
            <wp:extent cx="2501900" cy="1796415"/>
            <wp:effectExtent l="0" t="0" r="0" b="0"/>
            <wp:docPr id="1" name="Picture 1" descr="May be an image of one or more people, people studying and d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people studying and dai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520936" cy="1810083"/>
                    </a:xfrm>
                    <a:prstGeom prst="rect">
                      <a:avLst/>
                    </a:prstGeom>
                    <a:noFill/>
                    <a:ln>
                      <a:noFill/>
                    </a:ln>
                  </pic:spPr>
                </pic:pic>
              </a:graphicData>
            </a:graphic>
          </wp:inline>
        </w:drawing>
      </w:r>
      <w:r>
        <w:rPr>
          <w:rFonts w:ascii="Times New Roman" w:eastAsia="Times New Roman" w:hAnsi="Times New Roman" w:cs="Times New Roman"/>
          <w:bCs/>
          <w:noProof/>
          <w:sz w:val="24"/>
          <w:szCs w:val="24"/>
        </w:rPr>
        <w:drawing>
          <wp:inline distT="0" distB="0" distL="0" distR="0" wp14:anchorId="7B9BFE26" wp14:editId="44FBBC79">
            <wp:extent cx="3251200" cy="1816735"/>
            <wp:effectExtent l="0" t="0" r="6350" b="0"/>
            <wp:docPr id="146100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200" cy="1816735"/>
                    </a:xfrm>
                    <a:prstGeom prst="rect">
                      <a:avLst/>
                    </a:prstGeom>
                    <a:noFill/>
                  </pic:spPr>
                </pic:pic>
              </a:graphicData>
            </a:graphic>
          </wp:inline>
        </w:drawing>
      </w:r>
    </w:p>
    <w:p w14:paraId="59D1D849" w14:textId="0E1E024B" w:rsidR="00423D65" w:rsidRPr="00B64E68" w:rsidRDefault="00423D65" w:rsidP="00423D65">
      <w:pPr>
        <w:jc w:val="both"/>
        <w:rPr>
          <w:rFonts w:ascii="Times New Roman" w:eastAsiaTheme="minorEastAsia" w:hAnsi="Times New Roman" w:cs="Times New Roman"/>
          <w:sz w:val="24"/>
          <w:szCs w:val="24"/>
          <w:lang w:val="en-LR"/>
        </w:rPr>
      </w:pPr>
      <w:r w:rsidRPr="00B64E68">
        <w:rPr>
          <w:rFonts w:ascii="Times New Roman" w:eastAsiaTheme="minorEastAsia" w:hAnsi="Times New Roman" w:cs="Times New Roman"/>
          <w:sz w:val="24"/>
          <w:szCs w:val="24"/>
          <w:lang w:val="en-LR"/>
        </w:rPr>
        <w:t>.</w:t>
      </w:r>
      <w:r w:rsidR="005D6B9D">
        <w:rPr>
          <w:rFonts w:ascii="Times New Roman" w:eastAsiaTheme="minorEastAsia" w:hAnsi="Times New Roman" w:cs="Times New Roman"/>
          <w:noProof/>
          <w:sz w:val="24"/>
          <w:szCs w:val="24"/>
          <w:lang w:val="en-LR"/>
        </w:rPr>
        <w:drawing>
          <wp:inline distT="0" distB="0" distL="0" distR="0" wp14:anchorId="40E35BBE" wp14:editId="0F31992F">
            <wp:extent cx="3139440" cy="1548765"/>
            <wp:effectExtent l="0" t="0" r="3810" b="0"/>
            <wp:docPr id="4065951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9440" cy="1548765"/>
                    </a:xfrm>
                    <a:prstGeom prst="rect">
                      <a:avLst/>
                    </a:prstGeom>
                    <a:noFill/>
                  </pic:spPr>
                </pic:pic>
              </a:graphicData>
            </a:graphic>
          </wp:inline>
        </w:drawing>
      </w:r>
      <w:r w:rsidR="00FA0B6E">
        <w:rPr>
          <w:rFonts w:ascii="Times New Roman" w:eastAsiaTheme="minorEastAsia" w:hAnsi="Times New Roman" w:cs="Times New Roman"/>
          <w:noProof/>
          <w:sz w:val="24"/>
          <w:szCs w:val="24"/>
          <w:lang w:val="en-LR"/>
        </w:rPr>
        <w:drawing>
          <wp:inline distT="0" distB="0" distL="0" distR="0" wp14:anchorId="3EFB0A7F" wp14:editId="32A4D593">
            <wp:extent cx="2584450" cy="1517650"/>
            <wp:effectExtent l="0" t="0" r="6350" b="6350"/>
            <wp:docPr id="852809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4450" cy="1517650"/>
                    </a:xfrm>
                    <a:prstGeom prst="rect">
                      <a:avLst/>
                    </a:prstGeom>
                    <a:noFill/>
                  </pic:spPr>
                </pic:pic>
              </a:graphicData>
            </a:graphic>
          </wp:inline>
        </w:drawing>
      </w:r>
    </w:p>
    <w:p w14:paraId="62634BB9" w14:textId="7E365BCE" w:rsidR="00423D65" w:rsidRPr="00FA0B6E" w:rsidRDefault="00FA0B6E" w:rsidP="00423D65">
      <w:pPr>
        <w:jc w:val="both"/>
        <w:rPr>
          <w:rFonts w:ascii="Times New Roman" w:eastAsiaTheme="minorEastAsia" w:hAnsi="Times New Roman" w:cs="Times New Roman"/>
          <w:b/>
          <w:bCs/>
          <w:i/>
          <w:iCs/>
          <w:sz w:val="18"/>
          <w:szCs w:val="18"/>
          <w:lang w:val="en-LR"/>
        </w:rPr>
      </w:pPr>
      <w:r w:rsidRPr="00FA0B6E">
        <w:rPr>
          <w:rFonts w:ascii="Times New Roman" w:eastAsiaTheme="minorEastAsia" w:hAnsi="Times New Roman" w:cs="Times New Roman"/>
          <w:b/>
          <w:bCs/>
          <w:i/>
          <w:iCs/>
          <w:sz w:val="18"/>
          <w:szCs w:val="18"/>
          <w:lang w:val="en-LR"/>
        </w:rPr>
        <w:t>Pictorial of events at the retreat</w:t>
      </w:r>
    </w:p>
    <w:p w14:paraId="165CE4EE" w14:textId="153A4A49" w:rsidR="00423D65" w:rsidRDefault="00423D65" w:rsidP="00423D65">
      <w:pPr>
        <w:jc w:val="both"/>
        <w:rPr>
          <w:rFonts w:ascii="Times New Roman" w:eastAsiaTheme="minorEastAsia" w:hAnsi="Times New Roman" w:cs="Times New Roman"/>
          <w:sz w:val="24"/>
          <w:szCs w:val="24"/>
          <w:lang w:val="en-LR"/>
        </w:rPr>
      </w:pPr>
    </w:p>
    <w:p w14:paraId="582DB657" w14:textId="77777777" w:rsidR="00011EA3" w:rsidRDefault="00011EA3" w:rsidP="00423D65">
      <w:pPr>
        <w:jc w:val="both"/>
        <w:rPr>
          <w:rFonts w:ascii="Times New Roman" w:eastAsiaTheme="minorEastAsia" w:hAnsi="Times New Roman" w:cs="Times New Roman"/>
          <w:sz w:val="24"/>
          <w:szCs w:val="24"/>
          <w:lang w:val="en-LR"/>
        </w:rPr>
      </w:pPr>
    </w:p>
    <w:p w14:paraId="68FA4326" w14:textId="77777777" w:rsidR="00CD2BF0" w:rsidRDefault="00CD2BF0" w:rsidP="00423D65">
      <w:pPr>
        <w:jc w:val="both"/>
        <w:rPr>
          <w:rFonts w:ascii="Times New Roman" w:eastAsiaTheme="minorEastAsia" w:hAnsi="Times New Roman" w:cs="Times New Roman"/>
          <w:b/>
          <w:bCs/>
          <w:sz w:val="24"/>
          <w:szCs w:val="24"/>
          <w:lang w:val="en-LR"/>
        </w:rPr>
      </w:pPr>
    </w:p>
    <w:p w14:paraId="3ADCEF24" w14:textId="5AAE0EC0" w:rsidR="00423D65" w:rsidRPr="00B64E68" w:rsidRDefault="00423D65" w:rsidP="00423D65">
      <w:pPr>
        <w:jc w:val="both"/>
        <w:rPr>
          <w:rFonts w:ascii="Times New Roman" w:eastAsiaTheme="minorEastAsia" w:hAnsi="Times New Roman" w:cs="Times New Roman"/>
          <w:b/>
          <w:bCs/>
          <w:sz w:val="24"/>
          <w:szCs w:val="24"/>
        </w:rPr>
      </w:pPr>
      <w:r w:rsidRPr="00B64E68">
        <w:rPr>
          <w:rFonts w:ascii="Times New Roman" w:eastAsiaTheme="minorEastAsia" w:hAnsi="Times New Roman" w:cs="Times New Roman"/>
          <w:b/>
          <w:bCs/>
          <w:sz w:val="24"/>
          <w:szCs w:val="24"/>
        </w:rPr>
        <w:lastRenderedPageBreak/>
        <w:t xml:space="preserve">Engagement </w:t>
      </w:r>
      <w:r w:rsidR="00CD2BF0">
        <w:rPr>
          <w:rFonts w:ascii="Times New Roman" w:eastAsiaTheme="minorEastAsia" w:hAnsi="Times New Roman" w:cs="Times New Roman"/>
          <w:b/>
          <w:bCs/>
          <w:sz w:val="24"/>
          <w:szCs w:val="24"/>
        </w:rPr>
        <w:t>with Students from Stella Maris Polyethnic University</w:t>
      </w:r>
      <w:r w:rsidRPr="00B64E68">
        <w:rPr>
          <w:rFonts w:ascii="Times New Roman" w:eastAsiaTheme="minorEastAsia" w:hAnsi="Times New Roman" w:cs="Times New Roman"/>
          <w:b/>
          <w:bCs/>
          <w:sz w:val="24"/>
          <w:szCs w:val="24"/>
        </w:rPr>
        <w:t xml:space="preserve">:  </w:t>
      </w:r>
    </w:p>
    <w:p w14:paraId="3BE308AF" w14:textId="77777777" w:rsidR="00CD2BF0" w:rsidRP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CD2BF0">
        <w:rPr>
          <w:rFonts w:ascii="Times New Roman" w:eastAsia="Times New Roman" w:hAnsi="Times New Roman" w:cs="Times New Roman"/>
          <w:color w:val="000000" w:themeColor="text1"/>
          <w:sz w:val="24"/>
          <w:szCs w:val="24"/>
        </w:rPr>
        <w:t xml:space="preserve">In support of LEITI’s outreach and communication plan, the Head of Secretariat, Jeffrey N. Yates, had the privilege of presenting to students at Catholic-run Stella Maris Polytechnic University today, March 27, 2025, upon the invitation of Mr. </w:t>
      </w:r>
      <w:proofErr w:type="spellStart"/>
      <w:r w:rsidRPr="00CD2BF0">
        <w:rPr>
          <w:rFonts w:ascii="Times New Roman" w:eastAsia="Times New Roman" w:hAnsi="Times New Roman" w:cs="Times New Roman"/>
          <w:color w:val="000000" w:themeColor="text1"/>
          <w:sz w:val="24"/>
          <w:szCs w:val="24"/>
        </w:rPr>
        <w:t>Dorsla</w:t>
      </w:r>
      <w:proofErr w:type="spellEnd"/>
      <w:r w:rsidRPr="00CD2BF0">
        <w:rPr>
          <w:rFonts w:ascii="Times New Roman" w:eastAsia="Times New Roman" w:hAnsi="Times New Roman" w:cs="Times New Roman"/>
          <w:color w:val="000000" w:themeColor="text1"/>
          <w:sz w:val="24"/>
          <w:szCs w:val="24"/>
        </w:rPr>
        <w:t xml:space="preserve"> Farcarthy, a lecturer. </w:t>
      </w:r>
    </w:p>
    <w:p w14:paraId="0FD0FF3D" w14:textId="77777777" w:rsidR="00CD2BF0" w:rsidRP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FDC880C" w14:textId="77777777" w:rsidR="00CD2BF0" w:rsidRP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CD2BF0">
        <w:rPr>
          <w:rFonts w:ascii="Times New Roman" w:eastAsia="Times New Roman" w:hAnsi="Times New Roman" w:cs="Times New Roman"/>
          <w:color w:val="000000" w:themeColor="text1"/>
          <w:sz w:val="24"/>
          <w:szCs w:val="24"/>
        </w:rPr>
        <w:t xml:space="preserve">The presentation focused on how the EITI Standard helps resource-rich countries maximize benefits from their natural resources while ensuring transparency and accountability. Key topics covered included the EITI Value Chain, the composition and role of the Multi-Stakeholder Group (MSG), LEITI’s progress toward Contract Transparency and Beneficial Ownership Transparency, and its contributions to policy reforms in Liberia’s extractive sector. </w:t>
      </w:r>
    </w:p>
    <w:p w14:paraId="2A5C19BD" w14:textId="77777777" w:rsidR="00CD2BF0" w:rsidRP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7C000D13" w14:textId="0765734F" w:rsid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CD2BF0">
        <w:rPr>
          <w:rFonts w:ascii="Times New Roman" w:eastAsia="Times New Roman" w:hAnsi="Times New Roman" w:cs="Times New Roman"/>
          <w:color w:val="000000" w:themeColor="text1"/>
          <w:sz w:val="24"/>
          <w:szCs w:val="24"/>
        </w:rPr>
        <w:t xml:space="preserve">The session was highly interactive, with students showing great interest in LEITI’s activities. Many expressed </w:t>
      </w:r>
      <w:proofErr w:type="gramStart"/>
      <w:r w:rsidRPr="00CD2BF0">
        <w:rPr>
          <w:rFonts w:ascii="Times New Roman" w:eastAsia="Times New Roman" w:hAnsi="Times New Roman" w:cs="Times New Roman"/>
          <w:color w:val="000000" w:themeColor="text1"/>
          <w:sz w:val="24"/>
          <w:szCs w:val="24"/>
        </w:rPr>
        <w:t>appreciation</w:t>
      </w:r>
      <w:proofErr w:type="gramEnd"/>
      <w:r w:rsidRPr="00CD2BF0">
        <w:rPr>
          <w:rFonts w:ascii="Times New Roman" w:eastAsia="Times New Roman" w:hAnsi="Times New Roman" w:cs="Times New Roman"/>
          <w:color w:val="000000" w:themeColor="text1"/>
          <w:sz w:val="24"/>
          <w:szCs w:val="24"/>
        </w:rPr>
        <w:t xml:space="preserve"> for the Secretariat’s work and requested another engagement to gain deeper insights. They also showed enthusiasm about visiting the Secretariat to learn more. </w:t>
      </w:r>
      <w:r>
        <w:rPr>
          <w:rFonts w:ascii="Times New Roman" w:eastAsia="Times New Roman" w:hAnsi="Times New Roman" w:cs="Times New Roman"/>
          <w:color w:val="000000" w:themeColor="text1"/>
          <w:sz w:val="24"/>
          <w:szCs w:val="24"/>
        </w:rPr>
        <w:t xml:space="preserve"> </w:t>
      </w:r>
      <w:r w:rsidRPr="00CD2BF0">
        <w:rPr>
          <w:rFonts w:ascii="Times New Roman" w:eastAsia="Times New Roman" w:hAnsi="Times New Roman" w:cs="Times New Roman"/>
          <w:color w:val="000000" w:themeColor="text1"/>
          <w:sz w:val="24"/>
          <w:szCs w:val="24"/>
        </w:rPr>
        <w:t>As part of its commitment to public awareness and stakeholder engagement, LEITI will continue its outreach to universities and high schools nationwide.</w:t>
      </w:r>
    </w:p>
    <w:p w14:paraId="19D133F8" w14:textId="77777777" w:rsid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2AA7E7AD" w14:textId="3046AA48" w:rsid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AEF1F26" wp14:editId="3C4A7EA4">
            <wp:extent cx="2856131" cy="2146300"/>
            <wp:effectExtent l="0" t="0" r="1905" b="6350"/>
            <wp:docPr id="5032882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2173" cy="2150840"/>
                    </a:xfrm>
                    <a:prstGeom prst="rect">
                      <a:avLst/>
                    </a:prstGeom>
                    <a:noFill/>
                  </pic:spPr>
                </pic:pic>
              </a:graphicData>
            </a:graphic>
          </wp:inline>
        </w:drawing>
      </w:r>
      <w:r>
        <w:rPr>
          <w:rFonts w:ascii="Times New Roman" w:eastAsia="Times New Roman" w:hAnsi="Times New Roman" w:cs="Times New Roman"/>
          <w:noProof/>
          <w:color w:val="000000" w:themeColor="text1"/>
          <w:sz w:val="24"/>
          <w:szCs w:val="24"/>
        </w:rPr>
        <w:drawing>
          <wp:inline distT="0" distB="0" distL="0" distR="0" wp14:anchorId="71384A64" wp14:editId="3025E96E">
            <wp:extent cx="2831587" cy="2145665"/>
            <wp:effectExtent l="0" t="0" r="6985" b="6985"/>
            <wp:docPr id="15470382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0800" cy="2152647"/>
                    </a:xfrm>
                    <a:prstGeom prst="rect">
                      <a:avLst/>
                    </a:prstGeom>
                    <a:noFill/>
                  </pic:spPr>
                </pic:pic>
              </a:graphicData>
            </a:graphic>
          </wp:inline>
        </w:drawing>
      </w:r>
    </w:p>
    <w:p w14:paraId="0171731F" w14:textId="1FA9BD0C" w:rsidR="00CD2BF0" w:rsidRPr="00CD2BF0" w:rsidRDefault="00CD2BF0" w:rsidP="00CD2BF0">
      <w:pPr>
        <w:shd w:val="clear" w:color="auto" w:fill="FFFFFF"/>
        <w:spacing w:after="0" w:line="240" w:lineRule="auto"/>
        <w:jc w:val="both"/>
        <w:rPr>
          <w:rFonts w:ascii="Times New Roman" w:eastAsia="Times New Roman" w:hAnsi="Times New Roman" w:cs="Times New Roman"/>
          <w:b/>
          <w:bCs/>
          <w:i/>
          <w:iCs/>
          <w:color w:val="000000" w:themeColor="text1"/>
          <w:sz w:val="18"/>
          <w:szCs w:val="18"/>
        </w:rPr>
      </w:pPr>
      <w:r w:rsidRPr="00CD2BF0">
        <w:rPr>
          <w:rFonts w:ascii="Times New Roman" w:eastAsia="Times New Roman" w:hAnsi="Times New Roman" w:cs="Times New Roman"/>
          <w:b/>
          <w:bCs/>
          <w:i/>
          <w:iCs/>
          <w:color w:val="000000" w:themeColor="text1"/>
          <w:sz w:val="18"/>
          <w:szCs w:val="18"/>
        </w:rPr>
        <w:t>LEITI Head of Secretariat lecturing on Extractive Sector Governance at the University</w:t>
      </w:r>
    </w:p>
    <w:p w14:paraId="323601B8" w14:textId="77777777" w:rsidR="00CD2BF0" w:rsidRPr="00CD2BF0" w:rsidRDefault="00CD2BF0" w:rsidP="00CD2BF0">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1E0CEF5B" w14:textId="77777777" w:rsidR="00CD2BF0" w:rsidRDefault="00CD2BF0" w:rsidP="00423D65">
      <w:pPr>
        <w:jc w:val="both"/>
        <w:rPr>
          <w:rFonts w:ascii="Times New Roman" w:eastAsia="Times New Roman" w:hAnsi="Times New Roman" w:cs="Times New Roman"/>
          <w:bCs/>
          <w:sz w:val="24"/>
        </w:rPr>
      </w:pPr>
    </w:p>
    <w:p w14:paraId="45035D70" w14:textId="22FD853E" w:rsidR="009C6D5C" w:rsidRPr="009C6D5C" w:rsidRDefault="009C6D5C" w:rsidP="009C6D5C">
      <w:pPr>
        <w:spacing w:after="230" w:line="246" w:lineRule="auto"/>
        <w:ind w:left="-5" w:right="-15" w:hanging="10"/>
        <w:rPr>
          <w:rFonts w:ascii="Times New Roman" w:eastAsia="Times New Roman" w:hAnsi="Times New Roman" w:cs="Times New Roman"/>
          <w:color w:val="000000"/>
          <w:sz w:val="24"/>
        </w:rPr>
      </w:pPr>
      <w:r w:rsidRPr="009C6D5C">
        <w:rPr>
          <w:rFonts w:ascii="Times New Roman" w:eastAsia="Times New Roman" w:hAnsi="Times New Roman" w:cs="Times New Roman"/>
          <w:b/>
          <w:color w:val="000000"/>
          <w:sz w:val="24"/>
        </w:rPr>
        <w:t>Production of the 16</w:t>
      </w:r>
      <w:r w:rsidRPr="009C6D5C">
        <w:rPr>
          <w:rFonts w:ascii="Times New Roman" w:eastAsia="Times New Roman" w:hAnsi="Times New Roman" w:cs="Times New Roman"/>
          <w:b/>
          <w:color w:val="000000"/>
          <w:sz w:val="24"/>
          <w:vertAlign w:val="superscript"/>
        </w:rPr>
        <w:t>th</w:t>
      </w:r>
      <w:r w:rsidRPr="009C6D5C">
        <w:rPr>
          <w:rFonts w:ascii="Times New Roman" w:eastAsia="Times New Roman" w:hAnsi="Times New Roman" w:cs="Times New Roman"/>
          <w:b/>
          <w:color w:val="000000"/>
          <w:sz w:val="24"/>
        </w:rPr>
        <w:t xml:space="preserve"> EITI Report</w:t>
      </w:r>
    </w:p>
    <w:p w14:paraId="2D246EE6" w14:textId="77777777" w:rsidR="009C6D5C" w:rsidRPr="009C6D5C" w:rsidRDefault="009C6D5C" w:rsidP="009C6D5C">
      <w:pPr>
        <w:spacing w:before="100" w:beforeAutospacing="1" w:after="100" w:afterAutospacing="1" w:line="240" w:lineRule="auto"/>
        <w:ind w:left="10"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 xml:space="preserve">On December 12, 2025, Liberia’s Multi-Stakeholder Group (MSG), comprising representatives from government, the private sector, and civil society organizations, officially launched the country’s 16th Extractive Industries Transparency Initiative (EITI) Report. The report disclosed total tax revenues of </w:t>
      </w:r>
      <w:r w:rsidRPr="009C6D5C">
        <w:rPr>
          <w:rFonts w:ascii="Times New Roman" w:eastAsiaTheme="majorEastAsia" w:hAnsi="Times New Roman" w:cs="Times New Roman"/>
          <w:b/>
          <w:bCs/>
          <w:color w:val="000000" w:themeColor="text1"/>
          <w:sz w:val="24"/>
          <w:szCs w:val="24"/>
        </w:rPr>
        <w:t>USD 152,460,000.00 million</w:t>
      </w:r>
      <w:r w:rsidRPr="009C6D5C">
        <w:rPr>
          <w:rFonts w:ascii="Times New Roman" w:eastAsia="Times New Roman" w:hAnsi="Times New Roman" w:cs="Times New Roman"/>
          <w:color w:val="000000" w:themeColor="text1"/>
          <w:sz w:val="24"/>
          <w:szCs w:val="24"/>
        </w:rPr>
        <w:t>, underscoring the extractive sector’s continued importance to national development.</w:t>
      </w:r>
    </w:p>
    <w:p w14:paraId="69BF45E5" w14:textId="77777777" w:rsidR="009C6D5C" w:rsidRPr="009C6D5C" w:rsidRDefault="009C6D5C" w:rsidP="009C6D5C">
      <w:pPr>
        <w:spacing w:before="100" w:beforeAutospacing="1" w:after="100" w:afterAutospacing="1" w:line="240" w:lineRule="auto"/>
        <w:ind w:left="10"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 xml:space="preserve">On October 25, 2024, the MSG commissioned the preparation of the 16th Report, which covers the fiscal period from </w:t>
      </w:r>
      <w:r w:rsidRPr="009C6D5C">
        <w:rPr>
          <w:rFonts w:ascii="Times New Roman" w:eastAsiaTheme="majorEastAsia" w:hAnsi="Times New Roman" w:cs="Times New Roman"/>
          <w:b/>
          <w:bCs/>
          <w:color w:val="000000" w:themeColor="text1"/>
          <w:sz w:val="24"/>
          <w:szCs w:val="24"/>
        </w:rPr>
        <w:t>January 1 to December 31, 2023</w:t>
      </w:r>
      <w:r w:rsidRPr="009C6D5C">
        <w:rPr>
          <w:rFonts w:ascii="Times New Roman" w:eastAsia="Times New Roman" w:hAnsi="Times New Roman" w:cs="Times New Roman"/>
          <w:color w:val="000000" w:themeColor="text1"/>
          <w:sz w:val="24"/>
          <w:szCs w:val="24"/>
        </w:rPr>
        <w:t xml:space="preserve">. Produced under the traditional reconciliation framework, this publication represents a significant milestone as Liberia’s </w:t>
      </w:r>
      <w:r w:rsidRPr="009C6D5C">
        <w:rPr>
          <w:rFonts w:ascii="Times New Roman" w:eastAsiaTheme="majorEastAsia" w:hAnsi="Times New Roman" w:cs="Times New Roman"/>
          <w:b/>
          <w:bCs/>
          <w:color w:val="000000" w:themeColor="text1"/>
          <w:sz w:val="24"/>
          <w:szCs w:val="24"/>
        </w:rPr>
        <w:t>second reconciled report in the post-COVID-19 era</w:t>
      </w:r>
      <w:r w:rsidRPr="009C6D5C">
        <w:rPr>
          <w:rFonts w:ascii="Times New Roman" w:eastAsia="Times New Roman" w:hAnsi="Times New Roman" w:cs="Times New Roman"/>
          <w:color w:val="000000" w:themeColor="text1"/>
          <w:sz w:val="24"/>
          <w:szCs w:val="24"/>
        </w:rPr>
        <w:t xml:space="preserve">. It consolidates data from </w:t>
      </w:r>
      <w:r w:rsidRPr="009C6D5C">
        <w:rPr>
          <w:rFonts w:ascii="Times New Roman" w:eastAsiaTheme="majorEastAsia" w:hAnsi="Times New Roman" w:cs="Times New Roman"/>
          <w:b/>
          <w:bCs/>
          <w:color w:val="000000" w:themeColor="text1"/>
          <w:sz w:val="24"/>
          <w:szCs w:val="24"/>
        </w:rPr>
        <w:t xml:space="preserve">16 in-scope </w:t>
      </w:r>
      <w:r w:rsidRPr="009C6D5C">
        <w:rPr>
          <w:rFonts w:ascii="Times New Roman" w:eastAsiaTheme="majorEastAsia" w:hAnsi="Times New Roman" w:cs="Times New Roman"/>
          <w:b/>
          <w:bCs/>
          <w:color w:val="000000" w:themeColor="text1"/>
          <w:sz w:val="24"/>
          <w:szCs w:val="24"/>
        </w:rPr>
        <w:lastRenderedPageBreak/>
        <w:t>companies</w:t>
      </w:r>
      <w:r w:rsidRPr="009C6D5C">
        <w:rPr>
          <w:rFonts w:ascii="Times New Roman" w:eastAsia="Times New Roman" w:hAnsi="Times New Roman" w:cs="Times New Roman"/>
          <w:color w:val="000000" w:themeColor="text1"/>
          <w:sz w:val="24"/>
          <w:szCs w:val="24"/>
        </w:rPr>
        <w:t xml:space="preserve"> operating across three of the four covered sectors, as well as contributions from </w:t>
      </w:r>
      <w:r w:rsidRPr="009C6D5C">
        <w:rPr>
          <w:rFonts w:ascii="Times New Roman" w:eastAsiaTheme="majorEastAsia" w:hAnsi="Times New Roman" w:cs="Times New Roman"/>
          <w:b/>
          <w:bCs/>
          <w:color w:val="000000" w:themeColor="text1"/>
          <w:sz w:val="24"/>
          <w:szCs w:val="24"/>
        </w:rPr>
        <w:t>10 government institutions</w:t>
      </w:r>
      <w:r w:rsidRPr="009C6D5C">
        <w:rPr>
          <w:rFonts w:ascii="Times New Roman" w:eastAsia="Times New Roman" w:hAnsi="Times New Roman" w:cs="Times New Roman"/>
          <w:color w:val="000000" w:themeColor="text1"/>
          <w:sz w:val="24"/>
          <w:szCs w:val="24"/>
        </w:rPr>
        <w:t>.</w:t>
      </w:r>
    </w:p>
    <w:p w14:paraId="69E941F3" w14:textId="77777777" w:rsidR="009C6D5C" w:rsidRPr="009C6D5C" w:rsidRDefault="009C6D5C" w:rsidP="009C6D5C">
      <w:pPr>
        <w:shd w:val="clear" w:color="auto" w:fill="FFFFFF"/>
        <w:spacing w:before="120" w:after="0" w:line="240" w:lineRule="auto"/>
        <w:ind w:right="269"/>
        <w:jc w:val="both"/>
        <w:rPr>
          <w:rFonts w:ascii="Times New Roman" w:eastAsia="Times New Roman" w:hAnsi="Times New Roman" w:cs="Times New Roman"/>
          <w:b/>
          <w:color w:val="000000" w:themeColor="text1"/>
          <w:sz w:val="24"/>
          <w:szCs w:val="24"/>
        </w:rPr>
      </w:pPr>
      <w:r w:rsidRPr="009C6D5C">
        <w:rPr>
          <w:rFonts w:ascii="Times New Roman" w:eastAsia="Times New Roman" w:hAnsi="Times New Roman" w:cs="Times New Roman"/>
          <w:b/>
          <w:color w:val="000000" w:themeColor="text1"/>
          <w:sz w:val="24"/>
          <w:szCs w:val="24"/>
        </w:rPr>
        <w:t>OBJECTIVE OF THE REPORT</w:t>
      </w:r>
    </w:p>
    <w:p w14:paraId="3493E65D" w14:textId="77777777" w:rsidR="009C6D5C" w:rsidRP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rPr>
        <w:t xml:space="preserve">The purpose of this 16th LEITI report is to compile and present the data provided by the extractive companies (hereinafter referred to as “companies”) in comparison with the relevant data provided by government agencies for effective governance of the extractive sector. The overall objective of this exercise is to assist the </w:t>
      </w:r>
      <w:proofErr w:type="spellStart"/>
      <w:r w:rsidRPr="009C6D5C">
        <w:rPr>
          <w:rFonts w:ascii="Times New Roman" w:eastAsia="Times New Roman" w:hAnsi="Times New Roman" w:cs="Times New Roman"/>
          <w:color w:val="000000" w:themeColor="text1"/>
          <w:sz w:val="24"/>
        </w:rPr>
        <w:t>GoL</w:t>
      </w:r>
      <w:proofErr w:type="spellEnd"/>
      <w:r w:rsidRPr="009C6D5C">
        <w:rPr>
          <w:rFonts w:ascii="Times New Roman" w:eastAsia="Times New Roman" w:hAnsi="Times New Roman" w:cs="Times New Roman"/>
          <w:color w:val="000000" w:themeColor="text1"/>
          <w:sz w:val="24"/>
        </w:rPr>
        <w:t xml:space="preserve"> in understanding the contributions of all extractive resources, including minerals, oil and gas, forestry, and agriculture, to the country’s economic and social development, and to enhance their potential through strengthened resource governance that fully adheres to the principles and requirements of the EITI.</w:t>
      </w:r>
    </w:p>
    <w:p w14:paraId="28F94485" w14:textId="77777777" w:rsidR="009C6D5C" w:rsidRPr="009C6D5C" w:rsidRDefault="009C6D5C" w:rsidP="009C6D5C">
      <w:pPr>
        <w:shd w:val="clear" w:color="auto" w:fill="FFFFFF"/>
        <w:spacing w:before="120" w:after="57" w:line="244" w:lineRule="auto"/>
        <w:ind w:right="269"/>
        <w:jc w:val="both"/>
        <w:rPr>
          <w:rFonts w:ascii="Times New Roman" w:eastAsia="Times New Roman" w:hAnsi="Times New Roman" w:cs="Times New Roman"/>
          <w:b/>
          <w:bCs/>
          <w:color w:val="000000" w:themeColor="text1"/>
          <w:sz w:val="24"/>
          <w:szCs w:val="24"/>
        </w:rPr>
      </w:pPr>
      <w:r w:rsidRPr="009C6D5C">
        <w:rPr>
          <w:rFonts w:ascii="Times New Roman" w:eastAsia="Times New Roman" w:hAnsi="Times New Roman" w:cs="Times New Roman"/>
          <w:b/>
          <w:bCs/>
          <w:color w:val="000000" w:themeColor="text1"/>
          <w:sz w:val="24"/>
          <w:szCs w:val="24"/>
        </w:rPr>
        <w:t>REVENUE DATA</w:t>
      </w:r>
    </w:p>
    <w:p w14:paraId="7DC667C6" w14:textId="77777777" w:rsidR="009C6D5C" w:rsidRP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Consequently, LEITI 16th EITI report reveals that the total extractive sector revenue received by the Government from the Oil &amp;Gas, Mining, Forestry, and Agriculture sectors for the period January 1, 2023, to December 31, 2023, amounted to One Hundred Fifty-Two Million Four Hundred Sixty Thousand United States Dollars (USD152,460,000.00).</w:t>
      </w:r>
    </w:p>
    <w:p w14:paraId="3F87FF61" w14:textId="77777777" w:rsidR="009C6D5C" w:rsidRP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 xml:space="preserve">Of this amount, the Mining sector contributed One Hundred Twenty-One Million Four Hundred Ninety Thousand United States Dollars (US$121,490,000.00), the agriculture sector contributed Twenty-Three Million Nine Hundred Seventy Thousand United States Dollars (US$23,970,000.00), the Forestry sector contributed Six Million Four Hundred Fifty Thousand United States Dollars (US$6,450,000.00), and the Oil and Gas sector contributed Five Hundred Fifty Thousand United States Dollars (US$550,000.00). </w:t>
      </w:r>
    </w:p>
    <w:p w14:paraId="5F5D0E2B" w14:textId="77777777" w:rsidR="009C6D5C" w:rsidRPr="009C6D5C" w:rsidRDefault="009C6D5C" w:rsidP="009C6D5C">
      <w:pPr>
        <w:shd w:val="clear" w:color="auto" w:fill="FFFFFF"/>
        <w:spacing w:before="120" w:after="0" w:line="240" w:lineRule="auto"/>
        <w:ind w:right="269"/>
        <w:jc w:val="both"/>
        <w:rPr>
          <w:rFonts w:ascii="Times New Roman" w:eastAsia="Times New Roman" w:hAnsi="Times New Roman" w:cs="Times New Roman"/>
          <w:b/>
          <w:bCs/>
          <w:color w:val="000000" w:themeColor="text1"/>
          <w:sz w:val="24"/>
          <w:szCs w:val="24"/>
        </w:rPr>
      </w:pPr>
      <w:r w:rsidRPr="009C6D5C">
        <w:rPr>
          <w:rFonts w:ascii="Times New Roman" w:eastAsia="Times New Roman" w:hAnsi="Times New Roman" w:cs="Times New Roman"/>
          <w:b/>
          <w:bCs/>
          <w:color w:val="000000" w:themeColor="text1"/>
          <w:sz w:val="24"/>
          <w:szCs w:val="24"/>
        </w:rPr>
        <w:t>EXPORT DATA</w:t>
      </w:r>
    </w:p>
    <w:p w14:paraId="0FF570F9" w14:textId="265DBD84" w:rsidR="009C6D5C" w:rsidRP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 xml:space="preserve">Further analysis of the report indicates that a total of One Billion Three Hundred fifty-two million Seven Hundred Forty Thousand United States Dollars (1,352,740,000.00) worth of extractive commodities were exported during the period. Of this amount, gold exports totaled Six Hundred Sixty Million Three Hundred Forty Thousand United States Dollars (US$660,340,000).00), Iron Ore export amounted to Four Hundred Eighty Two Million Seven Hundred Thousand United States Dollars (US$482,700,000.00), Diamond export amounted to Seventeen Million Nine Hundred Ten Thousand United States Dollars (US$17,910,000.00), Rubber export amounted to One Hundred Three Million United States Dollars (US$103,000,000.00), Crude Palm Oil export amounted to Eighty Two Million Seven Hundred Ninety Thousand United States Dollars (US$82,790,000.00), amongst others. </w:t>
      </w:r>
    </w:p>
    <w:p w14:paraId="55FBC2C4" w14:textId="0E684DA4" w:rsid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The report reveals that Bea Mountain gold export value amounted to Six Hundred Ninety-One Million Two Hundred Fifty-Four Thousand Five Hundred Thirty-Nine United States Dollars (US$691,254,539.00), Western Cluster iron ore export value amounted to Ninety Three Million Four Hundred Eighty Three Thousand Two Hundred Ninety Four United States Dollars (US$93,483,294.00) and Arcelor Mittal iron ore export value amounted to Two Hundred Seventy One Million Fifty Three Thousand One Hundred Seventy One United States Dollars (US$271,053,171.00).</w:t>
      </w:r>
    </w:p>
    <w:p w14:paraId="761AA270" w14:textId="77777777" w:rsid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p>
    <w:p w14:paraId="1FCFBDA2" w14:textId="77777777" w:rsidR="009C6D5C" w:rsidRP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p>
    <w:p w14:paraId="366BCFE4" w14:textId="77777777" w:rsidR="009C6D5C" w:rsidRPr="009C6D5C" w:rsidRDefault="009C6D5C" w:rsidP="009C6D5C">
      <w:pPr>
        <w:shd w:val="clear" w:color="auto" w:fill="FFFFFF"/>
        <w:spacing w:before="120" w:after="57" w:line="244" w:lineRule="auto"/>
        <w:ind w:right="269"/>
        <w:jc w:val="both"/>
        <w:rPr>
          <w:rFonts w:ascii="Times New Roman" w:eastAsia="Times New Roman" w:hAnsi="Times New Roman" w:cs="Times New Roman"/>
          <w:b/>
          <w:bCs/>
          <w:color w:val="000000" w:themeColor="text1"/>
          <w:sz w:val="24"/>
          <w:szCs w:val="24"/>
        </w:rPr>
      </w:pPr>
      <w:r w:rsidRPr="009C6D5C">
        <w:rPr>
          <w:rFonts w:ascii="Times New Roman" w:eastAsia="Times New Roman" w:hAnsi="Times New Roman" w:cs="Times New Roman"/>
          <w:b/>
          <w:bCs/>
          <w:color w:val="000000" w:themeColor="text1"/>
          <w:sz w:val="24"/>
          <w:szCs w:val="24"/>
        </w:rPr>
        <w:lastRenderedPageBreak/>
        <w:t>EMPLOYMENT DATA</w:t>
      </w:r>
    </w:p>
    <w:p w14:paraId="61132CE0" w14:textId="77777777" w:rsid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sidRPr="009C6D5C">
        <w:rPr>
          <w:rFonts w:ascii="Times New Roman" w:eastAsia="Times New Roman" w:hAnsi="Times New Roman" w:cs="Times New Roman"/>
          <w:color w:val="000000" w:themeColor="text1"/>
          <w:sz w:val="24"/>
          <w:szCs w:val="24"/>
        </w:rPr>
        <w:t xml:space="preserve">The report also reveals that total employment in the extractive sector for the period was 19,345. Of this amount, 16,602 were males, while 2,743 were females. Further analysis shows that Bea Mountain had 1,110 permanent foreign employees during the period. </w:t>
      </w:r>
    </w:p>
    <w:p w14:paraId="195D923D" w14:textId="77777777" w:rsid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p>
    <w:p w14:paraId="1DC9F5AE" w14:textId="2FB5EC0A" w:rsid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2D624BD" wp14:editId="69F7831A">
            <wp:extent cx="2920365" cy="2084705"/>
            <wp:effectExtent l="0" t="0" r="0" b="0"/>
            <wp:docPr id="15771911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0365" cy="2084705"/>
                    </a:xfrm>
                    <a:prstGeom prst="rect">
                      <a:avLst/>
                    </a:prstGeom>
                    <a:noFill/>
                  </pic:spPr>
                </pic:pic>
              </a:graphicData>
            </a:graphic>
          </wp:inline>
        </w:drawing>
      </w:r>
      <w:r>
        <w:rPr>
          <w:rFonts w:ascii="Times New Roman" w:eastAsia="Times New Roman" w:hAnsi="Times New Roman" w:cs="Times New Roman"/>
          <w:noProof/>
          <w:color w:val="000000" w:themeColor="text1"/>
          <w:sz w:val="24"/>
          <w:szCs w:val="24"/>
        </w:rPr>
        <w:drawing>
          <wp:inline distT="0" distB="0" distL="0" distR="0" wp14:anchorId="01AD0613" wp14:editId="0DA5A0BE">
            <wp:extent cx="2819400" cy="2081434"/>
            <wp:effectExtent l="0" t="0" r="0" b="0"/>
            <wp:docPr id="3833834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6462" cy="2086647"/>
                    </a:xfrm>
                    <a:prstGeom prst="rect">
                      <a:avLst/>
                    </a:prstGeom>
                    <a:noFill/>
                  </pic:spPr>
                </pic:pic>
              </a:graphicData>
            </a:graphic>
          </wp:inline>
        </w:drawing>
      </w:r>
    </w:p>
    <w:p w14:paraId="06DC0585" w14:textId="47DD5F80" w:rsidR="009C6D5C" w:rsidRP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b/>
          <w:bCs/>
          <w:i/>
          <w:iCs/>
          <w:color w:val="000000" w:themeColor="text1"/>
          <w:sz w:val="18"/>
          <w:szCs w:val="18"/>
        </w:rPr>
      </w:pPr>
      <w:r w:rsidRPr="009C6D5C">
        <w:rPr>
          <w:rFonts w:ascii="Times New Roman" w:eastAsia="Times New Roman" w:hAnsi="Times New Roman" w:cs="Times New Roman"/>
          <w:b/>
          <w:bCs/>
          <w:i/>
          <w:iCs/>
          <w:color w:val="000000" w:themeColor="text1"/>
          <w:sz w:val="18"/>
          <w:szCs w:val="18"/>
        </w:rPr>
        <w:t>LEITI Head of Secretariat presents the 16</w:t>
      </w:r>
      <w:r w:rsidRPr="009C6D5C">
        <w:rPr>
          <w:rFonts w:ascii="Times New Roman" w:eastAsia="Times New Roman" w:hAnsi="Times New Roman" w:cs="Times New Roman"/>
          <w:b/>
          <w:bCs/>
          <w:i/>
          <w:iCs/>
          <w:color w:val="000000" w:themeColor="text1"/>
          <w:sz w:val="18"/>
          <w:szCs w:val="18"/>
          <w:vertAlign w:val="superscript"/>
        </w:rPr>
        <w:t>th</w:t>
      </w:r>
      <w:r w:rsidRPr="009C6D5C">
        <w:rPr>
          <w:rFonts w:ascii="Times New Roman" w:eastAsia="Times New Roman" w:hAnsi="Times New Roman" w:cs="Times New Roman"/>
          <w:b/>
          <w:bCs/>
          <w:i/>
          <w:iCs/>
          <w:color w:val="000000" w:themeColor="text1"/>
          <w:sz w:val="18"/>
          <w:szCs w:val="18"/>
        </w:rPr>
        <w:t xml:space="preserve"> Report to the Chairman of the MSG</w:t>
      </w:r>
    </w:p>
    <w:p w14:paraId="5CAA186A" w14:textId="77777777" w:rsidR="009C6D5C" w:rsidRDefault="009C6D5C" w:rsidP="009C6D5C">
      <w:pPr>
        <w:shd w:val="clear" w:color="auto" w:fill="FFFFFF"/>
        <w:spacing w:before="120" w:after="0" w:line="240" w:lineRule="auto"/>
        <w:ind w:right="269" w:hanging="10"/>
        <w:jc w:val="both"/>
        <w:rPr>
          <w:rFonts w:ascii="Times New Roman" w:eastAsia="Times New Roman" w:hAnsi="Times New Roman" w:cs="Times New Roman"/>
          <w:color w:val="000000" w:themeColor="text1"/>
          <w:sz w:val="24"/>
          <w:szCs w:val="24"/>
        </w:rPr>
      </w:pPr>
    </w:p>
    <w:p w14:paraId="66DDCFDC" w14:textId="77777777" w:rsidR="00423D65" w:rsidRPr="00601B84" w:rsidRDefault="00423D65" w:rsidP="00423D65">
      <w:pPr>
        <w:pStyle w:val="NormalWeb"/>
        <w:jc w:val="both"/>
      </w:pPr>
      <w:r w:rsidRPr="00B64E68">
        <w:t>This data portal underscores LEITI’s dedication to leveraging technology to foster transparency and improve resource management outcomes for all Liberians.</w:t>
      </w:r>
    </w:p>
    <w:p w14:paraId="667C214E" w14:textId="77777777" w:rsidR="00423D65" w:rsidRPr="00B64E68" w:rsidRDefault="00423D65" w:rsidP="00222665">
      <w:pPr>
        <w:pStyle w:val="Heading1"/>
      </w:pPr>
      <w:bookmarkStart w:id="10" w:name="_Toc217895912"/>
      <w:r w:rsidRPr="00B64E68">
        <w:t>WORKPLAN IMPLEMENTATION MATRIX FOR 2024</w:t>
      </w:r>
      <w:bookmarkEnd w:id="10"/>
    </w:p>
    <w:tbl>
      <w:tblPr>
        <w:tblStyle w:val="TableGrid"/>
        <w:tblW w:w="0" w:type="auto"/>
        <w:tblLook w:val="04A0" w:firstRow="1" w:lastRow="0" w:firstColumn="1" w:lastColumn="0" w:noHBand="0" w:noVBand="1"/>
      </w:tblPr>
      <w:tblGrid>
        <w:gridCol w:w="5035"/>
        <w:gridCol w:w="2331"/>
        <w:gridCol w:w="1984"/>
      </w:tblGrid>
      <w:tr w:rsidR="00423D65" w:rsidRPr="00B64E68" w14:paraId="50BF2E7C" w14:textId="77777777" w:rsidTr="0057476A">
        <w:trPr>
          <w:trHeight w:val="566"/>
        </w:trPr>
        <w:tc>
          <w:tcPr>
            <w:tcW w:w="5035" w:type="dxa"/>
            <w:shd w:val="clear" w:color="auto" w:fill="D0CECE" w:themeFill="background2" w:themeFillShade="E6"/>
          </w:tcPr>
          <w:p w14:paraId="4316AD3D" w14:textId="77777777" w:rsidR="00423D65" w:rsidRPr="00B64E68" w:rsidRDefault="00423D65" w:rsidP="0057476A">
            <w:pP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Workplan Description</w:t>
            </w:r>
          </w:p>
        </w:tc>
        <w:tc>
          <w:tcPr>
            <w:tcW w:w="2331" w:type="dxa"/>
            <w:shd w:val="clear" w:color="auto" w:fill="D0CECE" w:themeFill="background2" w:themeFillShade="E6"/>
          </w:tcPr>
          <w:p w14:paraId="5800D952" w14:textId="77777777" w:rsidR="00423D65" w:rsidRPr="00B64E68" w:rsidRDefault="00423D65" w:rsidP="0057476A">
            <w:pP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Implementation Year</w:t>
            </w:r>
          </w:p>
        </w:tc>
        <w:tc>
          <w:tcPr>
            <w:tcW w:w="1984" w:type="dxa"/>
            <w:shd w:val="clear" w:color="auto" w:fill="D0CECE" w:themeFill="background2" w:themeFillShade="E6"/>
          </w:tcPr>
          <w:p w14:paraId="339E08AA" w14:textId="77777777" w:rsidR="00423D65" w:rsidRPr="00B64E68" w:rsidRDefault="00423D65" w:rsidP="0057476A">
            <w:pP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 xml:space="preserve">         Status</w:t>
            </w:r>
          </w:p>
        </w:tc>
      </w:tr>
      <w:tr w:rsidR="00423D65" w:rsidRPr="00B64E68" w14:paraId="0D1B4C1D" w14:textId="77777777" w:rsidTr="00C35F42">
        <w:tc>
          <w:tcPr>
            <w:tcW w:w="5035" w:type="dxa"/>
          </w:tcPr>
          <w:p w14:paraId="516724E3"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Enhance citizens' debate and participation in decisions around resource extraction along the value chain;</w:t>
            </w:r>
          </w:p>
        </w:tc>
        <w:tc>
          <w:tcPr>
            <w:tcW w:w="2331" w:type="dxa"/>
          </w:tcPr>
          <w:p w14:paraId="7CFEEA22" w14:textId="58B8FCF6"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5A691A1A"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2EEBF845" w14:textId="77777777" w:rsidTr="00C35F42">
        <w:tc>
          <w:tcPr>
            <w:tcW w:w="5035" w:type="dxa"/>
          </w:tcPr>
          <w:p w14:paraId="6B43A0E4"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eastAsia="Aptos" w:hAnsi="Times New Roman" w:cs="Times New Roman"/>
                <w:kern w:val="2"/>
                <w:sz w:val="24"/>
                <w:szCs w:val="24"/>
                <w14:ligatures w14:val="standardContextual"/>
              </w:rPr>
              <w:t>Address emerging and existing challenges facing Liberia's EITI implementation in Liberia, such as Gender Mainstreaming, Environmental and Social Issues, Anti-Corruption, Energy Transition, Contract Transparency, Beneficial Ownership, etc.;</w:t>
            </w:r>
          </w:p>
        </w:tc>
        <w:tc>
          <w:tcPr>
            <w:tcW w:w="2331" w:type="dxa"/>
          </w:tcPr>
          <w:p w14:paraId="1C80390D" w14:textId="5B7A2AB9"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7E1962B0"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78039A57" w14:textId="77777777" w:rsidTr="00C35F42">
        <w:tc>
          <w:tcPr>
            <w:tcW w:w="5035" w:type="dxa"/>
          </w:tcPr>
          <w:p w14:paraId="2DA02C22" w14:textId="77777777" w:rsidR="00423D65" w:rsidRPr="00B64E68" w:rsidRDefault="00423D65" w:rsidP="0057476A">
            <w:pPr>
              <w:jc w:val="both"/>
              <w:rPr>
                <w:rFonts w:ascii="Times New Roman" w:eastAsiaTheme="minorEastAsia" w:hAnsi="Times New Roman" w:cs="Times New Roman"/>
                <w:sz w:val="24"/>
                <w:szCs w:val="24"/>
              </w:rPr>
            </w:pPr>
            <w:r w:rsidRPr="004F6AF0">
              <w:rPr>
                <w:rFonts w:ascii="Times New Roman" w:eastAsiaTheme="minorEastAsia" w:hAnsi="Times New Roman" w:cs="Times New Roman"/>
                <w:sz w:val="24"/>
                <w:szCs w:val="24"/>
              </w:rPr>
              <w:t>Dissemination of LEITI’s 13th, 14th, and 15th EITI Reports.</w:t>
            </w:r>
          </w:p>
        </w:tc>
        <w:tc>
          <w:tcPr>
            <w:tcW w:w="2331" w:type="dxa"/>
          </w:tcPr>
          <w:p w14:paraId="74C9EF9C" w14:textId="7B9DB636"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01FA3D05"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466A9BA9" w14:textId="77777777" w:rsidTr="00C35F42">
        <w:tc>
          <w:tcPr>
            <w:tcW w:w="5035" w:type="dxa"/>
          </w:tcPr>
          <w:p w14:paraId="3D44FE49"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lastRenderedPageBreak/>
              <w:t>Enhancing Timely Communication and Public Awareness for Effective EITI Implementation</w:t>
            </w:r>
          </w:p>
        </w:tc>
        <w:tc>
          <w:tcPr>
            <w:tcW w:w="2331" w:type="dxa"/>
          </w:tcPr>
          <w:p w14:paraId="1ADBF8AF" w14:textId="2F780D18"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03E013F7"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7ACA476C" w14:textId="77777777" w:rsidTr="00C35F42">
        <w:tc>
          <w:tcPr>
            <w:tcW w:w="5035" w:type="dxa"/>
          </w:tcPr>
          <w:p w14:paraId="02E26D54"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Providing evidence-based information to the Executive and Legislative branches of Government for informed decision-making to ensure citizens' benefits and</w:t>
            </w:r>
          </w:p>
        </w:tc>
        <w:tc>
          <w:tcPr>
            <w:tcW w:w="2331" w:type="dxa"/>
          </w:tcPr>
          <w:p w14:paraId="4388D534" w14:textId="788EDB24"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736813BE"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3CD426CE" w14:textId="77777777" w:rsidTr="00C35F42">
        <w:tc>
          <w:tcPr>
            <w:tcW w:w="5035" w:type="dxa"/>
          </w:tcPr>
          <w:p w14:paraId="3D22ED8D"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hAnsi="Times New Roman" w:cs="Times New Roman"/>
                <w:sz w:val="24"/>
                <w:szCs w:val="24"/>
              </w:rPr>
              <w:t>Capacity building for effective EITI implementation</w:t>
            </w:r>
          </w:p>
        </w:tc>
        <w:tc>
          <w:tcPr>
            <w:tcW w:w="2331" w:type="dxa"/>
          </w:tcPr>
          <w:p w14:paraId="000002AF" w14:textId="347156A1"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1B73997E" w14:textId="77777777" w:rsidR="00423D65" w:rsidRPr="00B64E68" w:rsidRDefault="00423D65" w:rsidP="0057476A">
            <w:pPr>
              <w:rPr>
                <w:rFonts w:ascii="Times New Roman" w:eastAsiaTheme="minorEastAsia" w:hAnsi="Times New Roman" w:cs="Times New Roman"/>
                <w:sz w:val="24"/>
                <w:szCs w:val="24"/>
              </w:rPr>
            </w:pPr>
          </w:p>
        </w:tc>
      </w:tr>
      <w:tr w:rsidR="00423D65" w:rsidRPr="0082496C" w14:paraId="3C7D7F49" w14:textId="77777777" w:rsidTr="00C35F42">
        <w:tc>
          <w:tcPr>
            <w:tcW w:w="5035" w:type="dxa"/>
          </w:tcPr>
          <w:p w14:paraId="31E17EA9"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Enhance citizens' debate and participation in decisions around resource extraction along the value chain;</w:t>
            </w:r>
          </w:p>
        </w:tc>
        <w:tc>
          <w:tcPr>
            <w:tcW w:w="2331" w:type="dxa"/>
          </w:tcPr>
          <w:p w14:paraId="32C4DA5C" w14:textId="02C1D709"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44F9C168"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35F255D3" w14:textId="77777777" w:rsidTr="00C35F42">
        <w:tc>
          <w:tcPr>
            <w:tcW w:w="5035" w:type="dxa"/>
          </w:tcPr>
          <w:p w14:paraId="3588D874" w14:textId="13881A25" w:rsidR="00423D65" w:rsidRPr="0082496C" w:rsidRDefault="00423D65" w:rsidP="0057476A">
            <w:pPr>
              <w:jc w:val="both"/>
              <w:rPr>
                <w:rFonts w:ascii="Times New Roman" w:eastAsiaTheme="minorEastAsia" w:hAnsi="Times New Roman" w:cs="Times New Roman"/>
                <w:sz w:val="24"/>
                <w:szCs w:val="24"/>
              </w:rPr>
            </w:pPr>
            <w:r w:rsidRPr="004F6AF0">
              <w:rPr>
                <w:rFonts w:ascii="Times New Roman" w:eastAsiaTheme="minorEastAsia" w:hAnsi="Times New Roman" w:cs="Times New Roman"/>
                <w:sz w:val="24"/>
                <w:szCs w:val="24"/>
              </w:rPr>
              <w:t>Production of Liberia's 16th EITI Report</w:t>
            </w:r>
            <w:r w:rsidR="00C35F42">
              <w:rPr>
                <w:rFonts w:ascii="Times New Roman" w:eastAsiaTheme="minorEastAsia" w:hAnsi="Times New Roman" w:cs="Times New Roman"/>
                <w:sz w:val="24"/>
                <w:szCs w:val="24"/>
              </w:rPr>
              <w:t>, which</w:t>
            </w:r>
            <w:r w:rsidRPr="004F6AF0">
              <w:rPr>
                <w:rFonts w:ascii="Times New Roman" w:eastAsiaTheme="minorEastAsia" w:hAnsi="Times New Roman" w:cs="Times New Roman"/>
                <w:sz w:val="24"/>
                <w:szCs w:val="24"/>
              </w:rPr>
              <w:t xml:space="preserve"> will show the contribution of the extractive sector to the national budget for the period 2023</w:t>
            </w:r>
            <w:r w:rsidR="00C35F42">
              <w:rPr>
                <w:rFonts w:ascii="Times New Roman" w:eastAsiaTheme="minorEastAsia" w:hAnsi="Times New Roman" w:cs="Times New Roman"/>
                <w:sz w:val="24"/>
                <w:szCs w:val="24"/>
              </w:rPr>
              <w:t>.</w:t>
            </w:r>
          </w:p>
        </w:tc>
        <w:tc>
          <w:tcPr>
            <w:tcW w:w="2331" w:type="dxa"/>
          </w:tcPr>
          <w:p w14:paraId="5DE4B82D" w14:textId="6130C8E4"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2A7A6E9D"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78FD2107" w14:textId="77777777" w:rsidTr="00C35F42">
        <w:tc>
          <w:tcPr>
            <w:tcW w:w="5035" w:type="dxa"/>
          </w:tcPr>
          <w:p w14:paraId="4270190B"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Study on the Social, Environmental, and Economic impacts of small-scale mining, forestry, and agriculture activities on women, youths, and other disadvantaged groups in selected counties;</w:t>
            </w:r>
          </w:p>
        </w:tc>
        <w:tc>
          <w:tcPr>
            <w:tcW w:w="2331" w:type="dxa"/>
          </w:tcPr>
          <w:p w14:paraId="617DA3D2" w14:textId="3EF5A02F"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A6A6A6" w:themeFill="background1" w:themeFillShade="A6"/>
          </w:tcPr>
          <w:p w14:paraId="2C028D8D"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3D68900A" w14:textId="77777777" w:rsidTr="00C35F42">
        <w:tc>
          <w:tcPr>
            <w:tcW w:w="5035" w:type="dxa"/>
          </w:tcPr>
          <w:p w14:paraId="21E8FC56"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hAnsi="Times New Roman" w:cs="Times New Roman"/>
                <w:sz w:val="24"/>
                <w:szCs w:val="24"/>
              </w:rPr>
              <w:t>The creation and popularization of a hotline at the Secretariat exclusively to receive, document, and forward to the Liberia Anti-Corruption and the Ministry of Justice corruption-related offenses;</w:t>
            </w:r>
          </w:p>
        </w:tc>
        <w:tc>
          <w:tcPr>
            <w:tcW w:w="2331" w:type="dxa"/>
          </w:tcPr>
          <w:p w14:paraId="02252D36" w14:textId="71D8B063"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67442C68" w14:textId="77777777" w:rsidR="00423D65" w:rsidRPr="00B64E68" w:rsidRDefault="00423D65" w:rsidP="0057476A">
            <w:pPr>
              <w:rPr>
                <w:rFonts w:ascii="Times New Roman" w:hAnsi="Times New Roman" w:cs="Times New Roman"/>
                <w:sz w:val="24"/>
                <w:szCs w:val="24"/>
              </w:rPr>
            </w:pPr>
          </w:p>
        </w:tc>
      </w:tr>
      <w:tr w:rsidR="00AB20BB" w:rsidRPr="00B64E68" w14:paraId="0468FBE6" w14:textId="77777777" w:rsidTr="00C35F42">
        <w:tc>
          <w:tcPr>
            <w:tcW w:w="5035" w:type="dxa"/>
          </w:tcPr>
          <w:p w14:paraId="767A5575" w14:textId="4A945815" w:rsidR="00AB20BB" w:rsidRPr="00AB20BB" w:rsidRDefault="00AB20BB" w:rsidP="0057476A">
            <w:pPr>
              <w:jc w:val="both"/>
              <w:rPr>
                <w:rFonts w:ascii="Times New Roman" w:hAnsi="Times New Roman" w:cs="Times New Roman"/>
                <w:sz w:val="24"/>
                <w:szCs w:val="24"/>
              </w:rPr>
            </w:pPr>
            <w:r w:rsidRPr="00AB20BB">
              <w:rPr>
                <w:rFonts w:ascii="Times New Roman" w:hAnsi="Times New Roman" w:cs="Times New Roman"/>
                <w:color w:val="000000" w:themeColor="text1"/>
                <w:sz w:val="24"/>
                <w:szCs w:val="24"/>
              </w:rPr>
              <w:t xml:space="preserve">Built partnerships at the county level to monitor and report on utilizing Social Development Funds (SDF), ensuring transparency and accountability in local resource management. </w:t>
            </w:r>
          </w:p>
        </w:tc>
        <w:tc>
          <w:tcPr>
            <w:tcW w:w="2331" w:type="dxa"/>
          </w:tcPr>
          <w:p w14:paraId="4E2D5DF1" w14:textId="052AFCA7" w:rsidR="00AB20BB" w:rsidRPr="00B64E68" w:rsidRDefault="00AB20BB" w:rsidP="0057476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1984" w:type="dxa"/>
            <w:shd w:val="clear" w:color="auto" w:fill="00B050"/>
          </w:tcPr>
          <w:p w14:paraId="3D79CAE1" w14:textId="77777777" w:rsidR="00AB20BB" w:rsidRPr="00B64E68" w:rsidRDefault="00AB20BB" w:rsidP="0057476A">
            <w:pPr>
              <w:rPr>
                <w:rFonts w:ascii="Times New Roman" w:hAnsi="Times New Roman" w:cs="Times New Roman"/>
                <w:sz w:val="24"/>
                <w:szCs w:val="24"/>
              </w:rPr>
            </w:pPr>
          </w:p>
        </w:tc>
      </w:tr>
      <w:tr w:rsidR="00423D65" w:rsidRPr="00B64E68" w14:paraId="7B23EFD3" w14:textId="77777777" w:rsidTr="00F37E92">
        <w:tc>
          <w:tcPr>
            <w:tcW w:w="5035" w:type="dxa"/>
          </w:tcPr>
          <w:p w14:paraId="6F6A9C95" w14:textId="50EED96E" w:rsidR="00423D65" w:rsidRPr="00B64E68" w:rsidRDefault="00423D65" w:rsidP="0057476A">
            <w:pPr>
              <w:jc w:val="both"/>
              <w:rPr>
                <w:rFonts w:ascii="Times New Roman" w:eastAsiaTheme="minorEastAsia" w:hAnsi="Times New Roman" w:cs="Times New Roman"/>
                <w:sz w:val="24"/>
                <w:szCs w:val="24"/>
              </w:rPr>
            </w:pPr>
            <w:r w:rsidRPr="004F6AF0">
              <w:rPr>
                <w:rFonts w:ascii="Times New Roman" w:hAnsi="Times New Roman" w:cs="Times New Roman"/>
                <w:sz w:val="24"/>
                <w:szCs w:val="24"/>
              </w:rPr>
              <w:t xml:space="preserve">Conduct a risk assessment on the awarding of </w:t>
            </w:r>
            <w:r w:rsidR="00C35F42">
              <w:rPr>
                <w:rFonts w:ascii="Times New Roman" w:hAnsi="Times New Roman" w:cs="Times New Roman"/>
                <w:sz w:val="24"/>
                <w:szCs w:val="24"/>
              </w:rPr>
              <w:t>licenses</w:t>
            </w:r>
            <w:r w:rsidRPr="004F6AF0">
              <w:rPr>
                <w:rFonts w:ascii="Times New Roman" w:hAnsi="Times New Roman" w:cs="Times New Roman"/>
                <w:sz w:val="24"/>
                <w:szCs w:val="24"/>
              </w:rPr>
              <w:t xml:space="preserve"> in the ASM sector</w:t>
            </w:r>
            <w:r w:rsidR="00F37E92">
              <w:rPr>
                <w:rFonts w:ascii="Times New Roman" w:hAnsi="Times New Roman" w:cs="Times New Roman"/>
                <w:sz w:val="24"/>
                <w:szCs w:val="24"/>
              </w:rPr>
              <w:t>.</w:t>
            </w:r>
          </w:p>
        </w:tc>
        <w:tc>
          <w:tcPr>
            <w:tcW w:w="2331" w:type="dxa"/>
          </w:tcPr>
          <w:p w14:paraId="6805EEDF" w14:textId="0D9B16CA"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46A9CCD5"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16072C44" w14:textId="77777777" w:rsidTr="00C35F42">
        <w:tc>
          <w:tcPr>
            <w:tcW w:w="5035" w:type="dxa"/>
          </w:tcPr>
          <w:p w14:paraId="2CB479CC"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hAnsi="Times New Roman" w:cs="Times New Roman"/>
                <w:sz w:val="24"/>
                <w:szCs w:val="24"/>
              </w:rPr>
              <w:t>Conduct</w:t>
            </w:r>
            <w:r>
              <w:rPr>
                <w:rFonts w:ascii="Times New Roman" w:hAnsi="Times New Roman" w:cs="Times New Roman"/>
                <w:sz w:val="24"/>
                <w:szCs w:val="24"/>
              </w:rPr>
              <w:t xml:space="preserve">/ Document </w:t>
            </w:r>
            <w:r w:rsidRPr="00B64E68">
              <w:rPr>
                <w:rFonts w:ascii="Times New Roman" w:hAnsi="Times New Roman" w:cs="Times New Roman"/>
                <w:sz w:val="24"/>
                <w:szCs w:val="24"/>
              </w:rPr>
              <w:t>Liberia's current energy policy and recommend areas for improvement;</w:t>
            </w:r>
          </w:p>
        </w:tc>
        <w:tc>
          <w:tcPr>
            <w:tcW w:w="2331" w:type="dxa"/>
          </w:tcPr>
          <w:p w14:paraId="22B16299" w14:textId="75B5FFF9"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29B95C"/>
          </w:tcPr>
          <w:p w14:paraId="0A20591C"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43F27360" w14:textId="77777777" w:rsidTr="00C35F42">
        <w:tc>
          <w:tcPr>
            <w:tcW w:w="5035" w:type="dxa"/>
          </w:tcPr>
          <w:p w14:paraId="2C39DCCF"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hAnsi="Times New Roman" w:cs="Times New Roman"/>
                <w:sz w:val="24"/>
                <w:szCs w:val="24"/>
              </w:rPr>
              <w:t>Develop a work plan that addresses all the corrective actions from the last validation.</w:t>
            </w:r>
          </w:p>
        </w:tc>
        <w:tc>
          <w:tcPr>
            <w:tcW w:w="2331" w:type="dxa"/>
          </w:tcPr>
          <w:p w14:paraId="42D8BC34" w14:textId="03CFE150"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29B95C"/>
          </w:tcPr>
          <w:p w14:paraId="0FB8E9EA"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1A1C5DA4" w14:textId="77777777" w:rsidTr="00C35F42">
        <w:tc>
          <w:tcPr>
            <w:tcW w:w="5035" w:type="dxa"/>
          </w:tcPr>
          <w:p w14:paraId="4740FAA6" w14:textId="77777777" w:rsidR="00423D65" w:rsidRPr="00B64E68" w:rsidRDefault="00423D65" w:rsidP="0057476A">
            <w:pPr>
              <w:jc w:val="both"/>
              <w:rPr>
                <w:rFonts w:ascii="Times New Roman" w:eastAsiaTheme="minorEastAsia" w:hAnsi="Times New Roman" w:cs="Times New Roman"/>
                <w:b/>
                <w:bCs/>
                <w:sz w:val="24"/>
                <w:szCs w:val="24"/>
              </w:rPr>
            </w:pPr>
            <w:r w:rsidRPr="00B64E68">
              <w:rPr>
                <w:rFonts w:ascii="Times New Roman" w:hAnsi="Times New Roman" w:cs="Times New Roman"/>
                <w:sz w:val="24"/>
                <w:szCs w:val="24"/>
              </w:rPr>
              <w:lastRenderedPageBreak/>
              <w:t>Conduct a study on the Social, Environmental, and Economic impacts of small-scale mining, forestry, and agriculture activities on women, youths, and other disadvantaged groups in selected counties;</w:t>
            </w:r>
          </w:p>
        </w:tc>
        <w:tc>
          <w:tcPr>
            <w:tcW w:w="2331" w:type="dxa"/>
          </w:tcPr>
          <w:p w14:paraId="22DC84CE" w14:textId="58D7FBBA"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BFBFBF" w:themeFill="background1" w:themeFillShade="BF"/>
          </w:tcPr>
          <w:p w14:paraId="00DF85CB" w14:textId="77777777" w:rsidR="00423D65" w:rsidRPr="00B64E68" w:rsidRDefault="00423D65" w:rsidP="0057476A">
            <w:pPr>
              <w:rPr>
                <w:rFonts w:ascii="Times New Roman" w:eastAsiaTheme="minorEastAsia" w:hAnsi="Times New Roman" w:cs="Times New Roman"/>
                <w:sz w:val="24"/>
                <w:szCs w:val="24"/>
              </w:rPr>
            </w:pPr>
          </w:p>
        </w:tc>
      </w:tr>
      <w:tr w:rsidR="00423D65" w:rsidRPr="00B64E68" w14:paraId="11BC26E1" w14:textId="77777777" w:rsidTr="00AB20BB">
        <w:tc>
          <w:tcPr>
            <w:tcW w:w="5035" w:type="dxa"/>
          </w:tcPr>
          <w:p w14:paraId="4D412C74" w14:textId="77777777" w:rsidR="00423D65" w:rsidRPr="00B64E68" w:rsidRDefault="00423D65" w:rsidP="0057476A">
            <w:pPr>
              <w:jc w:val="both"/>
              <w:rPr>
                <w:rFonts w:ascii="Times New Roman" w:eastAsiaTheme="minorEastAsia" w:hAnsi="Times New Roman" w:cs="Times New Roman"/>
                <w:sz w:val="24"/>
                <w:szCs w:val="24"/>
              </w:rPr>
            </w:pPr>
            <w:r w:rsidRPr="00B64E68">
              <w:rPr>
                <w:rFonts w:ascii="Times New Roman" w:hAnsi="Times New Roman" w:cs="Times New Roman"/>
                <w:sz w:val="24"/>
                <w:szCs w:val="24"/>
              </w:rPr>
              <w:t>Conduct a Compliance review of License Renewal in the Mining, Forestry, Agriculture, and Oil &amp; Gas Sectors;</w:t>
            </w:r>
          </w:p>
        </w:tc>
        <w:tc>
          <w:tcPr>
            <w:tcW w:w="2331" w:type="dxa"/>
          </w:tcPr>
          <w:p w14:paraId="5853353E" w14:textId="2BF81253"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00B050"/>
          </w:tcPr>
          <w:p w14:paraId="0B2E7E9E" w14:textId="77777777" w:rsidR="00423D65" w:rsidRPr="00B64E68" w:rsidRDefault="00423D65" w:rsidP="0057476A">
            <w:pPr>
              <w:rPr>
                <w:rFonts w:ascii="Times New Roman" w:eastAsiaTheme="minorEastAsia" w:hAnsi="Times New Roman" w:cs="Times New Roman"/>
                <w:color w:val="FF0000"/>
                <w:sz w:val="24"/>
                <w:szCs w:val="24"/>
              </w:rPr>
            </w:pPr>
          </w:p>
        </w:tc>
      </w:tr>
      <w:tr w:rsidR="00C35F42" w:rsidRPr="00B64E68" w14:paraId="4F5BBE0B" w14:textId="77777777" w:rsidTr="00AB20BB">
        <w:tc>
          <w:tcPr>
            <w:tcW w:w="5035" w:type="dxa"/>
          </w:tcPr>
          <w:p w14:paraId="5C1BD005" w14:textId="5F52141A" w:rsidR="00C35F42" w:rsidRPr="00B64E68" w:rsidRDefault="00C35F42" w:rsidP="0057476A">
            <w:pPr>
              <w:jc w:val="both"/>
              <w:rPr>
                <w:rFonts w:ascii="Times New Roman" w:hAnsi="Times New Roman" w:cs="Times New Roman"/>
                <w:sz w:val="24"/>
                <w:szCs w:val="24"/>
              </w:rPr>
            </w:pPr>
            <w:r>
              <w:rPr>
                <w:rFonts w:ascii="Times New Roman" w:hAnsi="Times New Roman" w:cs="Times New Roman"/>
                <w:sz w:val="24"/>
                <w:szCs w:val="24"/>
              </w:rPr>
              <w:t>Development of LEITI Data Portal</w:t>
            </w:r>
          </w:p>
        </w:tc>
        <w:tc>
          <w:tcPr>
            <w:tcW w:w="2331" w:type="dxa"/>
          </w:tcPr>
          <w:p w14:paraId="320847A1" w14:textId="35C60060" w:rsidR="00C35F42" w:rsidRPr="00B64E68" w:rsidRDefault="00C35F42" w:rsidP="0057476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1984" w:type="dxa"/>
            <w:shd w:val="clear" w:color="auto" w:fill="00B050"/>
          </w:tcPr>
          <w:p w14:paraId="02B0AFFA" w14:textId="77777777" w:rsidR="00C35F42" w:rsidRPr="00B64E68" w:rsidRDefault="00C35F42" w:rsidP="0057476A">
            <w:pPr>
              <w:rPr>
                <w:rFonts w:ascii="Times New Roman" w:eastAsiaTheme="minorEastAsia" w:hAnsi="Times New Roman" w:cs="Times New Roman"/>
                <w:color w:val="FF0000"/>
                <w:sz w:val="24"/>
                <w:szCs w:val="24"/>
              </w:rPr>
            </w:pPr>
          </w:p>
        </w:tc>
      </w:tr>
      <w:tr w:rsidR="006F50DB" w:rsidRPr="00B64E68" w14:paraId="796F82E3" w14:textId="77777777" w:rsidTr="00AB20BB">
        <w:tc>
          <w:tcPr>
            <w:tcW w:w="5035" w:type="dxa"/>
          </w:tcPr>
          <w:p w14:paraId="3CACAE04" w14:textId="5FB19BE0" w:rsidR="006F50DB" w:rsidRDefault="006F50DB" w:rsidP="0057476A">
            <w:pPr>
              <w:jc w:val="both"/>
              <w:rPr>
                <w:rFonts w:ascii="Times New Roman" w:hAnsi="Times New Roman" w:cs="Times New Roman"/>
                <w:sz w:val="24"/>
                <w:szCs w:val="24"/>
              </w:rPr>
            </w:pPr>
            <w:r>
              <w:rPr>
                <w:rFonts w:ascii="Times New Roman" w:hAnsi="Times New Roman" w:cs="Times New Roman"/>
                <w:sz w:val="24"/>
                <w:szCs w:val="24"/>
              </w:rPr>
              <w:t>Production of LEITI Updated Simplified Contract Matrix</w:t>
            </w:r>
          </w:p>
        </w:tc>
        <w:tc>
          <w:tcPr>
            <w:tcW w:w="2331" w:type="dxa"/>
          </w:tcPr>
          <w:p w14:paraId="479C9297" w14:textId="2D7AD794" w:rsidR="006F50DB" w:rsidRDefault="006F50DB" w:rsidP="0057476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1984" w:type="dxa"/>
            <w:shd w:val="clear" w:color="auto" w:fill="00B050"/>
          </w:tcPr>
          <w:p w14:paraId="5CB07B1A" w14:textId="77777777" w:rsidR="006F50DB" w:rsidRPr="00B64E68" w:rsidRDefault="006F50DB" w:rsidP="0057476A">
            <w:pPr>
              <w:rPr>
                <w:rFonts w:ascii="Times New Roman" w:eastAsiaTheme="minorEastAsia" w:hAnsi="Times New Roman" w:cs="Times New Roman"/>
                <w:color w:val="FF0000"/>
                <w:sz w:val="24"/>
                <w:szCs w:val="24"/>
              </w:rPr>
            </w:pPr>
          </w:p>
        </w:tc>
      </w:tr>
      <w:tr w:rsidR="00AB20BB" w:rsidRPr="00B64E68" w14:paraId="630CC96A" w14:textId="77777777" w:rsidTr="00AB20BB">
        <w:tc>
          <w:tcPr>
            <w:tcW w:w="5035" w:type="dxa"/>
          </w:tcPr>
          <w:p w14:paraId="7423D145" w14:textId="7DEBD38A" w:rsidR="00AB20BB" w:rsidRPr="00AB20BB" w:rsidRDefault="00AB20BB" w:rsidP="00AB20BB">
            <w:pPr>
              <w:rPr>
                <w:rFonts w:ascii="Times New Roman" w:hAnsi="Times New Roman" w:cs="Times New Roman"/>
                <w:color w:val="000000" w:themeColor="text1"/>
                <w:sz w:val="24"/>
                <w:szCs w:val="24"/>
                <w:lang w:val="en-LR"/>
              </w:rPr>
            </w:pPr>
            <w:r w:rsidRPr="00AB20BB">
              <w:rPr>
                <w:rFonts w:ascii="Times New Roman" w:hAnsi="Times New Roman" w:cs="Times New Roman"/>
                <w:color w:val="000000" w:themeColor="text1"/>
                <w:sz w:val="24"/>
                <w:szCs w:val="24"/>
              </w:rPr>
              <w:t>Produced and published the LEITI Service Delivery Charter</w:t>
            </w:r>
          </w:p>
        </w:tc>
        <w:tc>
          <w:tcPr>
            <w:tcW w:w="2331" w:type="dxa"/>
          </w:tcPr>
          <w:p w14:paraId="1D203848" w14:textId="0180E16E" w:rsidR="00AB20BB" w:rsidRDefault="00AB20BB" w:rsidP="0057476A">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2025</w:t>
            </w:r>
          </w:p>
        </w:tc>
        <w:tc>
          <w:tcPr>
            <w:tcW w:w="1984" w:type="dxa"/>
            <w:shd w:val="clear" w:color="auto" w:fill="00B050"/>
          </w:tcPr>
          <w:p w14:paraId="781BF181" w14:textId="77777777" w:rsidR="00AB20BB" w:rsidRPr="00B64E68" w:rsidRDefault="00AB20BB" w:rsidP="0057476A">
            <w:pPr>
              <w:rPr>
                <w:rFonts w:ascii="Times New Roman" w:eastAsiaTheme="minorEastAsia" w:hAnsi="Times New Roman" w:cs="Times New Roman"/>
                <w:color w:val="FF0000"/>
                <w:sz w:val="24"/>
                <w:szCs w:val="24"/>
              </w:rPr>
            </w:pPr>
          </w:p>
        </w:tc>
      </w:tr>
      <w:tr w:rsidR="00423D65" w:rsidRPr="00B64E68" w14:paraId="1A970B72" w14:textId="77777777" w:rsidTr="00C35F42">
        <w:tc>
          <w:tcPr>
            <w:tcW w:w="5035" w:type="dxa"/>
          </w:tcPr>
          <w:p w14:paraId="7A2C310B" w14:textId="77777777" w:rsidR="00423D65" w:rsidRPr="00B64E68" w:rsidRDefault="00423D65" w:rsidP="0057476A">
            <w:pPr>
              <w:jc w:val="both"/>
              <w:rPr>
                <w:rFonts w:ascii="Times New Roman" w:hAnsi="Times New Roman" w:cs="Times New Roman"/>
                <w:sz w:val="24"/>
                <w:szCs w:val="24"/>
              </w:rPr>
            </w:pPr>
            <w:r w:rsidRPr="00B64E68">
              <w:rPr>
                <w:rFonts w:ascii="Times New Roman" w:hAnsi="Times New Roman" w:cs="Times New Roman"/>
                <w:sz w:val="24"/>
                <w:szCs w:val="24"/>
              </w:rPr>
              <w:t>Conduct a Compliance review of concessionaires/concessions in the Mining, Forestry, Agriculture, and Oil &amp; Gas Sectors, among others.</w:t>
            </w:r>
          </w:p>
        </w:tc>
        <w:tc>
          <w:tcPr>
            <w:tcW w:w="2331" w:type="dxa"/>
          </w:tcPr>
          <w:p w14:paraId="0C6272C1" w14:textId="2B9A830D" w:rsidR="00423D65" w:rsidRPr="00B64E68" w:rsidRDefault="00423D65" w:rsidP="0057476A">
            <w:pPr>
              <w:jc w:val="center"/>
              <w:rPr>
                <w:rFonts w:ascii="Times New Roman" w:eastAsiaTheme="minorEastAsia" w:hAnsi="Times New Roman" w:cs="Times New Roman"/>
                <w:sz w:val="24"/>
                <w:szCs w:val="24"/>
              </w:rPr>
            </w:pPr>
            <w:r w:rsidRPr="00B64E68">
              <w:rPr>
                <w:rFonts w:ascii="Times New Roman" w:eastAsiaTheme="minorEastAsia" w:hAnsi="Times New Roman" w:cs="Times New Roman"/>
                <w:sz w:val="24"/>
                <w:szCs w:val="24"/>
              </w:rPr>
              <w:t>202</w:t>
            </w:r>
            <w:r w:rsidR="00C35F42">
              <w:rPr>
                <w:rFonts w:ascii="Times New Roman" w:eastAsiaTheme="minorEastAsia" w:hAnsi="Times New Roman" w:cs="Times New Roman"/>
                <w:sz w:val="24"/>
                <w:szCs w:val="24"/>
              </w:rPr>
              <w:t>5</w:t>
            </w:r>
          </w:p>
        </w:tc>
        <w:tc>
          <w:tcPr>
            <w:tcW w:w="1984" w:type="dxa"/>
            <w:shd w:val="clear" w:color="auto" w:fill="227ACB"/>
          </w:tcPr>
          <w:p w14:paraId="37D8FE0D" w14:textId="77777777" w:rsidR="00423D65" w:rsidRPr="00B64E68" w:rsidRDefault="00423D65" w:rsidP="00C35F42">
            <w:pPr>
              <w:ind w:firstLine="720"/>
              <w:rPr>
                <w:rFonts w:ascii="Times New Roman" w:eastAsiaTheme="minorEastAsia" w:hAnsi="Times New Roman" w:cs="Times New Roman"/>
                <w:color w:val="FF0000"/>
                <w:sz w:val="24"/>
                <w:szCs w:val="24"/>
              </w:rPr>
            </w:pPr>
          </w:p>
        </w:tc>
      </w:tr>
    </w:tbl>
    <w:p w14:paraId="2F9EDC46" w14:textId="77777777" w:rsidR="00423D65" w:rsidRPr="00B64E68" w:rsidRDefault="00423D65" w:rsidP="00423D65">
      <w:pPr>
        <w:rPr>
          <w:rFonts w:ascii="Times New Roman" w:eastAsia="Times New Roman" w:hAnsi="Times New Roman" w:cs="Times New Roman"/>
          <w:sz w:val="24"/>
          <w:szCs w:val="24"/>
        </w:rPr>
      </w:pPr>
    </w:p>
    <w:p w14:paraId="7C752452" w14:textId="77777777" w:rsidR="00423D65" w:rsidRPr="00B64E68" w:rsidRDefault="00423D65" w:rsidP="00423D65">
      <w:pPr>
        <w:rPr>
          <w:rFonts w:ascii="Times New Roman" w:eastAsia="Times New Roman" w:hAnsi="Times New Roman" w:cs="Times New Roman"/>
          <w:sz w:val="24"/>
          <w:szCs w:val="24"/>
        </w:rPr>
      </w:pPr>
      <w:r w:rsidRPr="00B64E68">
        <w:rPr>
          <w:rFonts w:ascii="Times New Roman" w:eastAsia="Times New Roman" w:hAnsi="Times New Roman" w:cs="Times New Roman"/>
          <w:sz w:val="24"/>
          <w:szCs w:val="24"/>
        </w:rPr>
        <w:t>LEGEND</w:t>
      </w:r>
    </w:p>
    <w:tbl>
      <w:tblPr>
        <w:tblStyle w:val="TableGrid"/>
        <w:tblpPr w:leftFromText="180" w:rightFromText="180" w:vertAnchor="text" w:tblpY="1"/>
        <w:tblOverlap w:val="never"/>
        <w:tblW w:w="0" w:type="auto"/>
        <w:tblLook w:val="04A0" w:firstRow="1" w:lastRow="0" w:firstColumn="1" w:lastColumn="0" w:noHBand="0" w:noVBand="1"/>
      </w:tblPr>
      <w:tblGrid>
        <w:gridCol w:w="896"/>
      </w:tblGrid>
      <w:tr w:rsidR="00423D65" w:rsidRPr="00994DCE" w14:paraId="3CC9F014" w14:textId="77777777" w:rsidTr="00994DCE">
        <w:trPr>
          <w:trHeight w:val="373"/>
        </w:trPr>
        <w:tc>
          <w:tcPr>
            <w:tcW w:w="896" w:type="dxa"/>
            <w:shd w:val="clear" w:color="auto" w:fill="A5A5A5" w:themeFill="accent3"/>
          </w:tcPr>
          <w:p w14:paraId="34FF5527" w14:textId="77777777" w:rsidR="00423D65" w:rsidRPr="00994DCE" w:rsidRDefault="00423D65" w:rsidP="0057476A">
            <w:pPr>
              <w:rPr>
                <w:rFonts w:ascii="Times New Roman" w:eastAsia="Times New Roman" w:hAnsi="Times New Roman" w:cs="Times New Roman"/>
                <w:sz w:val="12"/>
                <w:szCs w:val="12"/>
              </w:rPr>
            </w:pPr>
          </w:p>
          <w:p w14:paraId="42727A48" w14:textId="77777777" w:rsidR="00423D65" w:rsidRPr="00994DCE" w:rsidRDefault="00423D65" w:rsidP="0057476A">
            <w:pPr>
              <w:rPr>
                <w:rFonts w:ascii="Times New Roman" w:eastAsia="Times New Roman" w:hAnsi="Times New Roman" w:cs="Times New Roman"/>
                <w:sz w:val="12"/>
                <w:szCs w:val="12"/>
              </w:rPr>
            </w:pPr>
          </w:p>
        </w:tc>
      </w:tr>
      <w:tr w:rsidR="00423D65" w:rsidRPr="00994DCE" w14:paraId="7EEE818F" w14:textId="77777777" w:rsidTr="00994DCE">
        <w:trPr>
          <w:trHeight w:val="368"/>
        </w:trPr>
        <w:tc>
          <w:tcPr>
            <w:tcW w:w="896" w:type="dxa"/>
            <w:shd w:val="clear" w:color="auto" w:fill="4472C4" w:themeFill="accent1"/>
          </w:tcPr>
          <w:p w14:paraId="2A0BF387" w14:textId="77777777" w:rsidR="00423D65" w:rsidRPr="00994DCE" w:rsidRDefault="00423D65" w:rsidP="0057476A">
            <w:pPr>
              <w:rPr>
                <w:rFonts w:ascii="Times New Roman" w:eastAsia="Times New Roman" w:hAnsi="Times New Roman" w:cs="Times New Roman"/>
                <w:sz w:val="12"/>
                <w:szCs w:val="12"/>
              </w:rPr>
            </w:pPr>
            <w:r w:rsidRPr="00994DCE">
              <w:rPr>
                <w:rFonts w:ascii="Times New Roman" w:eastAsia="Times New Roman" w:hAnsi="Times New Roman" w:cs="Times New Roman"/>
                <w:sz w:val="12"/>
                <w:szCs w:val="12"/>
              </w:rPr>
              <w:t xml:space="preserve">  </w:t>
            </w:r>
          </w:p>
          <w:p w14:paraId="278A47BA" w14:textId="77777777" w:rsidR="00423D65" w:rsidRPr="00994DCE" w:rsidRDefault="00423D65" w:rsidP="0057476A">
            <w:pPr>
              <w:rPr>
                <w:rFonts w:ascii="Times New Roman" w:eastAsia="Times New Roman" w:hAnsi="Times New Roman" w:cs="Times New Roman"/>
                <w:sz w:val="12"/>
                <w:szCs w:val="12"/>
              </w:rPr>
            </w:pPr>
          </w:p>
        </w:tc>
      </w:tr>
      <w:tr w:rsidR="00423D65" w:rsidRPr="00994DCE" w14:paraId="397EF1F2" w14:textId="77777777" w:rsidTr="00AB20BB">
        <w:trPr>
          <w:trHeight w:val="373"/>
        </w:trPr>
        <w:tc>
          <w:tcPr>
            <w:tcW w:w="896" w:type="dxa"/>
            <w:shd w:val="clear" w:color="auto" w:fill="00B050"/>
          </w:tcPr>
          <w:p w14:paraId="1EED46BC" w14:textId="77777777" w:rsidR="00423D65" w:rsidRPr="00994DCE" w:rsidRDefault="00423D65" w:rsidP="0057476A">
            <w:pPr>
              <w:rPr>
                <w:rFonts w:ascii="Times New Roman" w:eastAsia="Times New Roman" w:hAnsi="Times New Roman" w:cs="Times New Roman"/>
                <w:sz w:val="12"/>
                <w:szCs w:val="12"/>
              </w:rPr>
            </w:pPr>
          </w:p>
          <w:p w14:paraId="0FBF5079" w14:textId="77777777" w:rsidR="00423D65" w:rsidRPr="00994DCE" w:rsidRDefault="00423D65" w:rsidP="0057476A">
            <w:pPr>
              <w:rPr>
                <w:rFonts w:ascii="Times New Roman" w:eastAsia="Times New Roman" w:hAnsi="Times New Roman" w:cs="Times New Roman"/>
                <w:sz w:val="12"/>
                <w:szCs w:val="12"/>
              </w:rPr>
            </w:pPr>
          </w:p>
        </w:tc>
      </w:tr>
    </w:tbl>
    <w:p w14:paraId="5614AF66" w14:textId="105678F0" w:rsidR="00423D65" w:rsidRDefault="00423D65" w:rsidP="00423D65">
      <w:pPr>
        <w:tabs>
          <w:tab w:val="left" w:pos="1850"/>
        </w:tabs>
        <w:rPr>
          <w:rFonts w:ascii="Times New Roman" w:eastAsia="Times New Roman" w:hAnsi="Times New Roman" w:cs="Times New Roman"/>
          <w:sz w:val="24"/>
          <w:szCs w:val="24"/>
        </w:rPr>
      </w:pPr>
      <w:r w:rsidRPr="00B64E68">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3CEF987" wp14:editId="4189F8B1">
                <wp:simplePos x="0" y="0"/>
                <wp:positionH relativeFrom="column">
                  <wp:posOffset>760730</wp:posOffset>
                </wp:positionH>
                <wp:positionV relativeFrom="paragraph">
                  <wp:posOffset>133350</wp:posOffset>
                </wp:positionV>
                <wp:extent cx="978408" cy="139700"/>
                <wp:effectExtent l="0" t="19050" r="31750" b="31750"/>
                <wp:wrapNone/>
                <wp:docPr id="30" name="Arrow: Right 30"/>
                <wp:cNvGraphicFramePr/>
                <a:graphic xmlns:a="http://schemas.openxmlformats.org/drawingml/2006/main">
                  <a:graphicData uri="http://schemas.microsoft.com/office/word/2010/wordprocessingShape">
                    <wps:wsp>
                      <wps:cNvSpPr/>
                      <wps:spPr>
                        <a:xfrm>
                          <a:off x="0" y="0"/>
                          <a:ext cx="978408" cy="139700"/>
                        </a:xfrm>
                        <a:prstGeom prst="rightArrow">
                          <a:avLst/>
                        </a:prstGeom>
                        <a:solidFill>
                          <a:srgbClr val="0F6FC6"/>
                        </a:solidFill>
                        <a:ln w="254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C10E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59.9pt;margin-top:10.5pt;width:77.05pt;height: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" adj="20058" fillcolor="#0f6fc6" strokecolor="#085091" strokeweight="2pt"/>
            </w:pict>
          </mc:Fallback>
        </mc:AlternateContent>
      </w:r>
      <w:r>
        <w:rPr>
          <w:rFonts w:ascii="Times New Roman" w:eastAsia="Times New Roman" w:hAnsi="Times New Roman" w:cs="Times New Roman"/>
          <w:sz w:val="24"/>
          <w:szCs w:val="24"/>
        </w:rPr>
        <w:tab/>
        <w:t xml:space="preserve">                 </w:t>
      </w:r>
      <w:r w:rsidR="00994DCE">
        <w:rPr>
          <w:rFonts w:ascii="Times New Roman" w:eastAsia="Times New Roman" w:hAnsi="Times New Roman" w:cs="Times New Roman"/>
          <w:sz w:val="24"/>
          <w:szCs w:val="24"/>
        </w:rPr>
        <w:t>Not Started</w:t>
      </w:r>
    </w:p>
    <w:p w14:paraId="0E2BC0A2" w14:textId="27EA3CE0" w:rsidR="00423D65" w:rsidRDefault="00994DCE" w:rsidP="00994DCE">
      <w:pPr>
        <w:tabs>
          <w:tab w:val="left" w:pos="1850"/>
        </w:tabs>
        <w:rPr>
          <w:rFonts w:ascii="Times New Roman" w:eastAsia="Times New Roman" w:hAnsi="Times New Roman" w:cs="Times New Roman"/>
          <w:sz w:val="24"/>
          <w:szCs w:val="24"/>
        </w:rPr>
      </w:pPr>
      <w:r w:rsidRPr="00B64E68">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5AA0AC05" wp14:editId="427AC0D7">
                <wp:simplePos x="0" y="0"/>
                <wp:positionH relativeFrom="column">
                  <wp:posOffset>812800</wp:posOffset>
                </wp:positionH>
                <wp:positionV relativeFrom="paragraph">
                  <wp:posOffset>738505</wp:posOffset>
                </wp:positionV>
                <wp:extent cx="977900" cy="152400"/>
                <wp:effectExtent l="0" t="19050" r="31750" b="38100"/>
                <wp:wrapTight wrapText="bothSides">
                  <wp:wrapPolygon edited="0">
                    <wp:start x="18935" y="-2700"/>
                    <wp:lineTo x="0" y="0"/>
                    <wp:lineTo x="0" y="16200"/>
                    <wp:lineTo x="18935" y="24300"/>
                    <wp:lineTo x="21039" y="24300"/>
                    <wp:lineTo x="21881" y="10800"/>
                    <wp:lineTo x="21039" y="-2700"/>
                    <wp:lineTo x="18935" y="-2700"/>
                  </wp:wrapPolygon>
                </wp:wrapTight>
                <wp:docPr id="33" name="Arrow: Right 33"/>
                <wp:cNvGraphicFramePr/>
                <a:graphic xmlns:a="http://schemas.openxmlformats.org/drawingml/2006/main">
                  <a:graphicData uri="http://schemas.microsoft.com/office/word/2010/wordprocessingShape">
                    <wps:wsp>
                      <wps:cNvSpPr/>
                      <wps:spPr>
                        <a:xfrm>
                          <a:off x="0" y="0"/>
                          <a:ext cx="977900" cy="152400"/>
                        </a:xfrm>
                        <a:prstGeom prst="rightArrow">
                          <a:avLst/>
                        </a:prstGeom>
                        <a:solidFill>
                          <a:srgbClr val="0F6FC6"/>
                        </a:solidFill>
                        <a:ln w="254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6F8A1" id="Arrow: Right 33" o:spid="_x0000_s1026" type="#_x0000_t13" style="position:absolute;margin-left:64pt;margin-top:58.15pt;width:77pt;height:1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" adj="19917" fillcolor="#0f6fc6" strokecolor="#085091" strokeweight="2pt">
                <w10:wrap type="tight"/>
              </v:shape>
            </w:pict>
          </mc:Fallback>
        </mc:AlternateContent>
      </w:r>
      <w:r w:rsidRPr="00B64E68">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2562B34" wp14:editId="7FA25370">
                <wp:simplePos x="0" y="0"/>
                <wp:positionH relativeFrom="column">
                  <wp:posOffset>779780</wp:posOffset>
                </wp:positionH>
                <wp:positionV relativeFrom="paragraph">
                  <wp:posOffset>282575</wp:posOffset>
                </wp:positionV>
                <wp:extent cx="977900" cy="152400"/>
                <wp:effectExtent l="0" t="19050" r="31750" b="38100"/>
                <wp:wrapNone/>
                <wp:docPr id="31" name="Arrow: Right 31"/>
                <wp:cNvGraphicFramePr/>
                <a:graphic xmlns:a="http://schemas.openxmlformats.org/drawingml/2006/main">
                  <a:graphicData uri="http://schemas.microsoft.com/office/word/2010/wordprocessingShape">
                    <wps:wsp>
                      <wps:cNvSpPr/>
                      <wps:spPr>
                        <a:xfrm>
                          <a:off x="0" y="0"/>
                          <a:ext cx="977900" cy="152400"/>
                        </a:xfrm>
                        <a:prstGeom prst="rightArrow">
                          <a:avLst/>
                        </a:prstGeom>
                        <a:solidFill>
                          <a:srgbClr val="0F6FC6"/>
                        </a:solidFill>
                        <a:ln w="25400" cap="flat" cmpd="sng" algn="ctr">
                          <a:solidFill>
                            <a:srgbClr val="0F6F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055B8C" id="Arrow: Right 31" o:spid="_x0000_s1026" type="#_x0000_t13" style="position:absolute;margin-left:61.4pt;margin-top:22.25pt;width:77pt;height:1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" adj="19917" fillcolor="#0f6fc6" strokecolor="#085091" strokeweight="2pt"/>
            </w:pict>
          </mc:Fallback>
        </mc:AlternateContent>
      </w:r>
      <w:r w:rsidR="00423D65">
        <w:rPr>
          <w:rFonts w:ascii="Times New Roman" w:eastAsia="Times New Roman" w:hAnsi="Times New Roman" w:cs="Times New Roman"/>
          <w:sz w:val="24"/>
          <w:szCs w:val="24"/>
        </w:rPr>
        <w:tab/>
      </w:r>
      <w:r w:rsidR="00423D65">
        <w:rPr>
          <w:rFonts w:ascii="Times New Roman" w:eastAsia="Times New Roman" w:hAnsi="Times New Roman" w:cs="Times New Roman"/>
          <w:sz w:val="24"/>
          <w:szCs w:val="24"/>
        </w:rPr>
        <w:tab/>
      </w:r>
      <w:r w:rsidR="00423D65">
        <w:rPr>
          <w:rFonts w:ascii="Times New Roman" w:eastAsia="Times New Roman" w:hAnsi="Times New Roman" w:cs="Times New Roman"/>
          <w:sz w:val="24"/>
          <w:szCs w:val="24"/>
        </w:rPr>
        <w:tab/>
      </w:r>
    </w:p>
    <w:p w14:paraId="6D1BB1A2" w14:textId="4DAA7B1F" w:rsidR="00994DCE" w:rsidRDefault="00994DCE" w:rsidP="00994DCE">
      <w:pPr>
        <w:tabs>
          <w:tab w:val="left" w:pos="185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Work in Progress</w:t>
      </w:r>
    </w:p>
    <w:p w14:paraId="27198240" w14:textId="3AD9E018" w:rsidR="00994DCE" w:rsidRPr="00994DCE" w:rsidRDefault="00994DCE" w:rsidP="00994DCE">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w:t>
      </w:r>
    </w:p>
    <w:p w14:paraId="3F89C604" w14:textId="77777777" w:rsidR="00423D65" w:rsidRPr="001C527A" w:rsidRDefault="00423D65" w:rsidP="00423D65">
      <w:pPr>
        <w:rPr>
          <w:rFonts w:eastAsiaTheme="minorEastAsia"/>
          <w:lang w:val="en-LR"/>
        </w:rPr>
      </w:pPr>
      <w:r w:rsidRPr="00B64E68">
        <w:rPr>
          <w:rFonts w:ascii="Times New Roman" w:eastAsia="Times New Roman" w:hAnsi="Times New Roman" w:cs="Times New Roman"/>
          <w:sz w:val="24"/>
          <w:szCs w:val="24"/>
        </w:rPr>
        <w:t xml:space="preserve"> </w:t>
      </w:r>
      <w:r w:rsidRPr="00B64E68">
        <w:rPr>
          <w:rFonts w:ascii="Times New Roman" w:eastAsia="Times New Roman" w:hAnsi="Times New Roman" w:cs="Times New Roman"/>
          <w:sz w:val="24"/>
          <w:szCs w:val="24"/>
        </w:rPr>
        <w:br w:type="textWrapping" w:clear="all"/>
      </w:r>
    </w:p>
    <w:p w14:paraId="237E6604" w14:textId="086DADE4" w:rsidR="00423D65" w:rsidRPr="00526CD8" w:rsidRDefault="00526CD8" w:rsidP="00423D65">
      <w:pPr>
        <w:rPr>
          <w:rFonts w:ascii="Times New Roman" w:eastAsiaTheme="minorEastAsia" w:hAnsi="Times New Roman" w:cs="Times New Roman"/>
          <w:b/>
          <w:bCs/>
          <w:i/>
          <w:iCs/>
          <w:sz w:val="24"/>
          <w:szCs w:val="24"/>
          <w:lang w:val="en-LR"/>
        </w:rPr>
      </w:pPr>
      <w:r w:rsidRPr="00526CD8">
        <w:rPr>
          <w:rFonts w:ascii="Times New Roman" w:eastAsiaTheme="minorEastAsia" w:hAnsi="Times New Roman" w:cs="Times New Roman"/>
          <w:b/>
          <w:bCs/>
          <w:i/>
          <w:iCs/>
          <w:sz w:val="24"/>
          <w:szCs w:val="24"/>
          <w:lang w:val="en-LR"/>
        </w:rPr>
        <w:t xml:space="preserve">The above table illustrates that the LEITI Secretariat achieved </w:t>
      </w:r>
      <w:r w:rsidRPr="00526CD8">
        <w:rPr>
          <w:rFonts w:ascii="Times New Roman" w:eastAsiaTheme="minorEastAsia" w:hAnsi="Times New Roman" w:cs="Times New Roman"/>
          <w:b/>
          <w:bCs/>
          <w:i/>
          <w:iCs/>
          <w:sz w:val="24"/>
          <w:szCs w:val="24"/>
          <w:shd w:val="clear" w:color="auto" w:fill="00B050"/>
          <w:lang w:val="en-LR"/>
        </w:rPr>
        <w:t>85%</w:t>
      </w:r>
      <w:r w:rsidRPr="00526CD8">
        <w:rPr>
          <w:rFonts w:ascii="Times New Roman" w:eastAsiaTheme="minorEastAsia" w:hAnsi="Times New Roman" w:cs="Times New Roman"/>
          <w:b/>
          <w:bCs/>
          <w:i/>
          <w:iCs/>
          <w:sz w:val="24"/>
          <w:szCs w:val="24"/>
          <w:lang w:val="en-LR"/>
        </w:rPr>
        <w:t xml:space="preserve"> of its workplan activities for 2025</w:t>
      </w:r>
    </w:p>
    <w:p w14:paraId="17DAF4AD" w14:textId="77777777" w:rsidR="00526CD8" w:rsidRDefault="00526CD8" w:rsidP="00423D65">
      <w:pPr>
        <w:rPr>
          <w:rFonts w:ascii="Gill Sans MT" w:eastAsiaTheme="minorEastAsia" w:hAnsi="Gill Sans MT" w:cs="Times New Roman"/>
          <w:sz w:val="24"/>
          <w:szCs w:val="24"/>
          <w:lang w:val="en-LR"/>
        </w:rPr>
      </w:pPr>
    </w:p>
    <w:p w14:paraId="24A94AE4" w14:textId="77777777" w:rsidR="00526CD8" w:rsidRDefault="00526CD8" w:rsidP="00423D65">
      <w:pPr>
        <w:rPr>
          <w:rFonts w:ascii="Gill Sans MT" w:eastAsiaTheme="minorEastAsia" w:hAnsi="Gill Sans MT" w:cs="Times New Roman"/>
          <w:sz w:val="24"/>
          <w:szCs w:val="24"/>
          <w:lang w:val="en-LR"/>
        </w:rPr>
      </w:pPr>
    </w:p>
    <w:p w14:paraId="6C7D6C8A" w14:textId="77777777" w:rsidR="00526CD8" w:rsidRPr="001C527A" w:rsidRDefault="00526CD8" w:rsidP="00423D65">
      <w:pPr>
        <w:rPr>
          <w:rFonts w:ascii="Gill Sans MT" w:eastAsiaTheme="minorEastAsia" w:hAnsi="Gill Sans MT" w:cs="Times New Roman"/>
          <w:sz w:val="24"/>
          <w:szCs w:val="24"/>
          <w:lang w:val="en-LR"/>
        </w:rPr>
      </w:pPr>
    </w:p>
    <w:p w14:paraId="6C49C260" w14:textId="77777777" w:rsidR="00423D65" w:rsidRPr="00B64E68" w:rsidRDefault="00423D65" w:rsidP="00423D65">
      <w:pPr>
        <w:rPr>
          <w:rFonts w:ascii="Times New Roman" w:eastAsiaTheme="minorEastAsia" w:hAnsi="Times New Roman" w:cs="Times New Roman"/>
          <w:sz w:val="24"/>
          <w:szCs w:val="24"/>
        </w:rPr>
      </w:pPr>
    </w:p>
    <w:p w14:paraId="64B2BB95" w14:textId="77777777" w:rsidR="00423D65" w:rsidRPr="00B64E68" w:rsidRDefault="00423D65" w:rsidP="00423D65">
      <w:pPr>
        <w:tabs>
          <w:tab w:val="left" w:pos="1850"/>
        </w:tabs>
        <w:rPr>
          <w:rFonts w:ascii="Times New Roman" w:eastAsia="Times New Roman" w:hAnsi="Times New Roman" w:cs="Times New Roman"/>
          <w:sz w:val="24"/>
          <w:szCs w:val="24"/>
        </w:rPr>
      </w:pPr>
    </w:p>
    <w:p w14:paraId="37D333BF" w14:textId="5EB14DC8" w:rsidR="00423D65" w:rsidRPr="00B64E68" w:rsidRDefault="00423D65" w:rsidP="00222665">
      <w:pPr>
        <w:pStyle w:val="Heading1"/>
      </w:pPr>
      <w:bookmarkStart w:id="11" w:name="_Toc217895913"/>
      <w:r w:rsidRPr="00B64E68">
        <w:t>Assessment of Performance against EITI Requirement</w:t>
      </w:r>
      <w:bookmarkEnd w:id="11"/>
    </w:p>
    <w:p w14:paraId="3C750073" w14:textId="77777777"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During the reviewed period, Liberia produced and launched the 15</w:t>
      </w:r>
      <w:r w:rsidRPr="00B64E68">
        <w:rPr>
          <w:rFonts w:ascii="Times New Roman" w:hAnsi="Times New Roman" w:cs="Times New Roman"/>
          <w:sz w:val="24"/>
          <w:szCs w:val="24"/>
          <w:vertAlign w:val="superscript"/>
        </w:rPr>
        <w:t>th</w:t>
      </w:r>
      <w:r w:rsidRPr="00B64E68">
        <w:rPr>
          <w:rFonts w:ascii="Times New Roman" w:hAnsi="Times New Roman" w:cs="Times New Roman"/>
          <w:sz w:val="24"/>
          <w:szCs w:val="24"/>
        </w:rPr>
        <w:t xml:space="preserve"> EITI Report and disseminated it along with the 13</w:t>
      </w:r>
      <w:r w:rsidRPr="00B64E68">
        <w:rPr>
          <w:rFonts w:ascii="Times New Roman" w:hAnsi="Times New Roman" w:cs="Times New Roman"/>
          <w:sz w:val="24"/>
          <w:szCs w:val="24"/>
          <w:vertAlign w:val="superscript"/>
        </w:rPr>
        <w:t>th</w:t>
      </w:r>
      <w:r w:rsidRPr="00B64E68">
        <w:rPr>
          <w:rFonts w:ascii="Times New Roman" w:hAnsi="Times New Roman" w:cs="Times New Roman"/>
          <w:sz w:val="24"/>
          <w:szCs w:val="24"/>
        </w:rPr>
        <w:t xml:space="preserve"> and 14</w:t>
      </w:r>
      <w:r w:rsidRPr="00B64E68">
        <w:rPr>
          <w:rFonts w:ascii="Times New Roman" w:hAnsi="Times New Roman" w:cs="Times New Roman"/>
          <w:sz w:val="24"/>
          <w:szCs w:val="24"/>
          <w:vertAlign w:val="superscript"/>
        </w:rPr>
        <w:t>th</w:t>
      </w:r>
      <w:r w:rsidRPr="00B64E68">
        <w:rPr>
          <w:rFonts w:ascii="Times New Roman" w:hAnsi="Times New Roman" w:cs="Times New Roman"/>
          <w:sz w:val="24"/>
          <w:szCs w:val="24"/>
        </w:rPr>
        <w:t xml:space="preserve"> reports to six of the 15 political subdivisions of Liberia. Below is an assessment of LEITI’s performance against the EITI Requirements for the period under review using the previous 15</w:t>
      </w:r>
      <w:r w:rsidRPr="00B64E68">
        <w:rPr>
          <w:rFonts w:ascii="Times New Roman" w:hAnsi="Times New Roman" w:cs="Times New Roman"/>
          <w:sz w:val="24"/>
          <w:szCs w:val="24"/>
          <w:vertAlign w:val="superscript"/>
        </w:rPr>
        <w:t>th</w:t>
      </w:r>
      <w:r w:rsidRPr="00B64E68">
        <w:rPr>
          <w:rFonts w:ascii="Times New Roman" w:hAnsi="Times New Roman" w:cs="Times New Roman"/>
          <w:sz w:val="24"/>
          <w:szCs w:val="24"/>
        </w:rPr>
        <w:t xml:space="preserve"> Report:</w:t>
      </w:r>
    </w:p>
    <w:tbl>
      <w:tblPr>
        <w:tblStyle w:val="TableGrid"/>
        <w:tblW w:w="0" w:type="auto"/>
        <w:tblLook w:val="04A0" w:firstRow="1" w:lastRow="0" w:firstColumn="1" w:lastColumn="0" w:noHBand="0" w:noVBand="1"/>
      </w:tblPr>
      <w:tblGrid>
        <w:gridCol w:w="4661"/>
        <w:gridCol w:w="4689"/>
      </w:tblGrid>
      <w:tr w:rsidR="00423D65" w:rsidRPr="00B64E68" w14:paraId="5E567D57" w14:textId="77777777" w:rsidTr="0057476A">
        <w:tc>
          <w:tcPr>
            <w:tcW w:w="4788" w:type="dxa"/>
            <w:shd w:val="clear" w:color="auto" w:fill="808080"/>
          </w:tcPr>
          <w:p w14:paraId="6F9F225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Requirement </w:t>
            </w:r>
          </w:p>
        </w:tc>
        <w:tc>
          <w:tcPr>
            <w:tcW w:w="4788" w:type="dxa"/>
            <w:shd w:val="clear" w:color="auto" w:fill="808080"/>
          </w:tcPr>
          <w:p w14:paraId="46F5CA16"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Progress</w:t>
            </w:r>
          </w:p>
        </w:tc>
      </w:tr>
      <w:tr w:rsidR="00423D65" w:rsidRPr="00B64E68" w14:paraId="7D92A87E" w14:textId="77777777" w:rsidTr="0057476A">
        <w:tc>
          <w:tcPr>
            <w:tcW w:w="4788" w:type="dxa"/>
          </w:tcPr>
          <w:p w14:paraId="37135A28" w14:textId="77777777" w:rsidR="00423D65" w:rsidRPr="00B64E68" w:rsidRDefault="00423D65" w:rsidP="0057476A">
            <w:pPr>
              <w:spacing w:after="80"/>
              <w:jc w:val="both"/>
              <w:rPr>
                <w:rFonts w:ascii="Times New Roman" w:eastAsia="Calibri" w:hAnsi="Times New Roman" w:cs="Times New Roman"/>
                <w:b/>
                <w:sz w:val="24"/>
                <w:szCs w:val="24"/>
                <w:u w:val="single"/>
              </w:rPr>
            </w:pPr>
          </w:p>
          <w:p w14:paraId="7C768B6A" w14:textId="77777777" w:rsidR="00423D65" w:rsidRPr="00B64E68" w:rsidRDefault="00423D65" w:rsidP="0057476A">
            <w:pPr>
              <w:spacing w:after="80"/>
              <w:jc w:val="both"/>
              <w:rPr>
                <w:rFonts w:ascii="Times New Roman" w:eastAsia="Calibri" w:hAnsi="Times New Roman" w:cs="Times New Roman"/>
                <w:b/>
                <w:sz w:val="24"/>
                <w:szCs w:val="24"/>
                <w:u w:val="single"/>
              </w:rPr>
            </w:pPr>
            <w:r w:rsidRPr="00B64E68">
              <w:rPr>
                <w:rFonts w:ascii="Times New Roman" w:eastAsia="Calibri" w:hAnsi="Times New Roman" w:cs="Times New Roman"/>
                <w:b/>
                <w:sz w:val="24"/>
                <w:szCs w:val="24"/>
                <w:u w:val="single"/>
              </w:rPr>
              <w:t>1.1 Government engagement.</w:t>
            </w:r>
          </w:p>
          <w:p w14:paraId="6ACF6E5F"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32CA1EEF"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1.1(a)</w:t>
            </w:r>
          </w:p>
          <w:p w14:paraId="0F118A5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government is required to issue an unequivocal public statement of its intention to implement the EITI. The head must make the statement of state or government or an appropriately delegated government representative.</w:t>
            </w:r>
          </w:p>
          <w:p w14:paraId="2EF6264B" w14:textId="77777777" w:rsidR="00423D65" w:rsidRPr="00B64E68" w:rsidRDefault="00423D65" w:rsidP="0057476A">
            <w:pPr>
              <w:spacing w:after="80"/>
              <w:jc w:val="both"/>
              <w:rPr>
                <w:rFonts w:ascii="Times New Roman" w:eastAsia="Calibri" w:hAnsi="Times New Roman" w:cs="Times New Roman"/>
                <w:sz w:val="24"/>
                <w:szCs w:val="24"/>
              </w:rPr>
            </w:pPr>
          </w:p>
          <w:p w14:paraId="3427E589"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1.1(b)</w:t>
            </w:r>
          </w:p>
          <w:p w14:paraId="799D8DE3"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government is required to appoint a senior individual to lead the implementation of the EITI. The appointee should have the confidence of all stakeholders, the authority, and the freedom to coordinate action on the EITI across relevant ministries and agencies and mobilize resources for EITI implementation. </w:t>
            </w:r>
          </w:p>
          <w:p w14:paraId="2C59247E" w14:textId="77777777" w:rsidR="00423D65" w:rsidRPr="00B64E68" w:rsidRDefault="00423D65" w:rsidP="0057476A">
            <w:pPr>
              <w:spacing w:after="80"/>
              <w:jc w:val="both"/>
              <w:rPr>
                <w:rFonts w:ascii="Times New Roman" w:eastAsia="Calibri" w:hAnsi="Times New Roman" w:cs="Times New Roman"/>
                <w:sz w:val="24"/>
                <w:szCs w:val="24"/>
              </w:rPr>
            </w:pPr>
          </w:p>
          <w:p w14:paraId="72D9C652"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1.1(</w:t>
            </w:r>
            <w:proofErr w:type="gramStart"/>
            <w:r w:rsidRPr="00B64E68">
              <w:rPr>
                <w:rFonts w:ascii="Times New Roman" w:eastAsia="Calibri" w:hAnsi="Times New Roman" w:cs="Times New Roman"/>
                <w:sz w:val="24"/>
                <w:szCs w:val="24"/>
                <w:u w:val="single"/>
              </w:rPr>
              <w:t>c )</w:t>
            </w:r>
            <w:proofErr w:type="gramEnd"/>
          </w:p>
          <w:p w14:paraId="279A1BB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government must be fully, actively, and effectively engaged in the EITI process. </w:t>
            </w:r>
          </w:p>
          <w:p w14:paraId="5E272DD9" w14:textId="77777777" w:rsidR="00423D65" w:rsidRPr="00B64E68" w:rsidRDefault="00423D65" w:rsidP="0057476A">
            <w:pPr>
              <w:spacing w:after="80"/>
              <w:jc w:val="both"/>
              <w:rPr>
                <w:rFonts w:ascii="Times New Roman" w:eastAsia="Calibri" w:hAnsi="Times New Roman" w:cs="Times New Roman"/>
                <w:sz w:val="24"/>
                <w:szCs w:val="24"/>
              </w:rPr>
            </w:pPr>
          </w:p>
          <w:p w14:paraId="2016D844"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27737AE7"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143EAD5D"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lastRenderedPageBreak/>
              <w:t>Requirement 1.1 (d)</w:t>
            </w:r>
          </w:p>
          <w:p w14:paraId="438D7A2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government must ensure that senior government officials are represented in the multi-stakeholder group.</w:t>
            </w:r>
          </w:p>
          <w:p w14:paraId="25946BA2"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49F1FF8A"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63E53B3B"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6C1E2810"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5BF3E1A6"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3624969D"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34B2E1CC" w14:textId="77777777" w:rsidR="00423D65" w:rsidRPr="00B64E68" w:rsidRDefault="00423D65" w:rsidP="0057476A">
            <w:pPr>
              <w:spacing w:after="80"/>
              <w:jc w:val="both"/>
              <w:rPr>
                <w:rFonts w:ascii="Times New Roman" w:eastAsia="Calibri" w:hAnsi="Times New Roman" w:cs="Times New Roman"/>
                <w:sz w:val="24"/>
                <w:szCs w:val="24"/>
                <w:u w:val="single"/>
              </w:rPr>
            </w:pPr>
          </w:p>
        </w:tc>
        <w:tc>
          <w:tcPr>
            <w:tcW w:w="4788" w:type="dxa"/>
          </w:tcPr>
          <w:p w14:paraId="4D8D2401" w14:textId="77777777" w:rsidR="00423D65" w:rsidRPr="00B64E68" w:rsidRDefault="00423D65" w:rsidP="0057476A">
            <w:pPr>
              <w:spacing w:after="80"/>
              <w:jc w:val="both"/>
              <w:rPr>
                <w:rFonts w:ascii="Times New Roman" w:eastAsia="Calibri" w:hAnsi="Times New Roman" w:cs="Times New Roman"/>
                <w:sz w:val="24"/>
                <w:szCs w:val="24"/>
              </w:rPr>
            </w:pPr>
          </w:p>
          <w:p w14:paraId="3AAB0C7C" w14:textId="60B18C49"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In </w:t>
            </w:r>
            <w:r w:rsidR="00B43092">
              <w:rPr>
                <w:rFonts w:ascii="Times New Roman" w:eastAsia="Calibri" w:hAnsi="Times New Roman" w:cs="Times New Roman"/>
                <w:sz w:val="24"/>
                <w:szCs w:val="24"/>
              </w:rPr>
              <w:t>February 2024</w:t>
            </w:r>
            <w:r w:rsidRPr="00B64E68">
              <w:rPr>
                <w:rFonts w:ascii="Times New Roman" w:eastAsia="Calibri" w:hAnsi="Times New Roman" w:cs="Times New Roman"/>
                <w:sz w:val="24"/>
                <w:szCs w:val="24"/>
              </w:rPr>
              <w:t>, when a</w:t>
            </w:r>
            <w:r w:rsidR="00B43092">
              <w:rPr>
                <w:rFonts w:ascii="Times New Roman" w:eastAsia="Calibri" w:hAnsi="Times New Roman" w:cs="Times New Roman"/>
                <w:sz w:val="24"/>
                <w:szCs w:val="24"/>
              </w:rPr>
              <w:t xml:space="preserve"> new MSG</w:t>
            </w:r>
            <w:r w:rsidRPr="00B64E68">
              <w:rPr>
                <w:rFonts w:ascii="Times New Roman" w:eastAsia="Calibri" w:hAnsi="Times New Roman" w:cs="Times New Roman"/>
                <w:sz w:val="24"/>
                <w:szCs w:val="24"/>
              </w:rPr>
              <w:t xml:space="preserve"> was appointed, Liberia’s President </w:t>
            </w:r>
            <w:r w:rsidR="00B43092">
              <w:rPr>
                <w:rFonts w:ascii="Times New Roman" w:eastAsia="Calibri" w:hAnsi="Times New Roman" w:cs="Times New Roman"/>
                <w:sz w:val="24"/>
                <w:szCs w:val="24"/>
              </w:rPr>
              <w:t>H.E. Jospeh N. Boakai</w:t>
            </w:r>
            <w:r w:rsidRPr="00B64E68">
              <w:rPr>
                <w:rFonts w:ascii="Times New Roman" w:eastAsia="Calibri" w:hAnsi="Times New Roman" w:cs="Times New Roman"/>
                <w:sz w:val="24"/>
                <w:szCs w:val="24"/>
              </w:rPr>
              <w:t xml:space="preserve"> tasked the new members to implement the EITI in Liberia scrupulously.</w:t>
            </w:r>
          </w:p>
          <w:p w14:paraId="4F0ACDE2" w14:textId="77777777" w:rsidR="00423D65" w:rsidRPr="00B64E68" w:rsidRDefault="00423D65" w:rsidP="0057476A">
            <w:pPr>
              <w:spacing w:after="80"/>
              <w:jc w:val="both"/>
              <w:rPr>
                <w:rFonts w:ascii="Times New Roman" w:eastAsia="Calibri" w:hAnsi="Times New Roman" w:cs="Times New Roman"/>
                <w:sz w:val="24"/>
                <w:szCs w:val="24"/>
              </w:rPr>
            </w:pPr>
          </w:p>
          <w:p w14:paraId="6C8932F6" w14:textId="77777777" w:rsidR="00423D65" w:rsidRPr="00B64E68" w:rsidRDefault="00423D65" w:rsidP="0057476A">
            <w:pPr>
              <w:spacing w:after="80"/>
              <w:jc w:val="both"/>
              <w:rPr>
                <w:rFonts w:ascii="Times New Roman" w:eastAsia="Calibri" w:hAnsi="Times New Roman" w:cs="Times New Roman"/>
                <w:sz w:val="24"/>
                <w:szCs w:val="24"/>
              </w:rPr>
            </w:pPr>
          </w:p>
          <w:p w14:paraId="6674FBBB" w14:textId="77777777" w:rsidR="00423D65" w:rsidRPr="00B64E68" w:rsidRDefault="00423D65" w:rsidP="0057476A">
            <w:pPr>
              <w:spacing w:after="80"/>
              <w:jc w:val="both"/>
              <w:rPr>
                <w:rFonts w:ascii="Times New Roman" w:eastAsia="Calibri" w:hAnsi="Times New Roman" w:cs="Times New Roman"/>
                <w:sz w:val="24"/>
                <w:szCs w:val="24"/>
              </w:rPr>
            </w:pPr>
          </w:p>
          <w:p w14:paraId="30EA1238" w14:textId="77777777" w:rsidR="00423D65" w:rsidRPr="00B64E68" w:rsidRDefault="00423D65" w:rsidP="0057476A">
            <w:pPr>
              <w:spacing w:after="80"/>
              <w:jc w:val="both"/>
              <w:rPr>
                <w:rFonts w:ascii="Times New Roman" w:eastAsia="Calibri" w:hAnsi="Times New Roman" w:cs="Times New Roman"/>
                <w:sz w:val="24"/>
                <w:szCs w:val="24"/>
              </w:rPr>
            </w:pPr>
          </w:p>
          <w:p w14:paraId="1EC9CDA8" w14:textId="77777777" w:rsidR="00423D65" w:rsidRPr="00B64E68" w:rsidRDefault="00423D65" w:rsidP="0057476A">
            <w:pPr>
              <w:spacing w:after="80"/>
              <w:jc w:val="both"/>
              <w:rPr>
                <w:rFonts w:ascii="Times New Roman" w:eastAsia="Calibri" w:hAnsi="Times New Roman" w:cs="Times New Roman"/>
                <w:sz w:val="24"/>
                <w:szCs w:val="24"/>
              </w:rPr>
            </w:pPr>
          </w:p>
          <w:p w14:paraId="3EE35B4E" w14:textId="2054F773"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President</w:t>
            </w:r>
            <w:r w:rsidR="00B43092">
              <w:rPr>
                <w:rFonts w:ascii="Times New Roman" w:eastAsia="Calibri" w:hAnsi="Times New Roman" w:cs="Times New Roman"/>
                <w:sz w:val="24"/>
                <w:szCs w:val="24"/>
              </w:rPr>
              <w:t xml:space="preserve"> Joseph Boakai</w:t>
            </w:r>
            <w:r w:rsidRPr="00B64E68">
              <w:rPr>
                <w:rFonts w:ascii="Times New Roman" w:eastAsia="Calibri" w:hAnsi="Times New Roman" w:cs="Times New Roman"/>
                <w:sz w:val="24"/>
                <w:szCs w:val="24"/>
              </w:rPr>
              <w:t xml:space="preserve"> also appointed Hon. </w:t>
            </w:r>
            <w:r w:rsidR="00B43092">
              <w:rPr>
                <w:rFonts w:ascii="Times New Roman" w:eastAsia="Calibri" w:hAnsi="Times New Roman" w:cs="Times New Roman"/>
                <w:sz w:val="24"/>
                <w:szCs w:val="24"/>
              </w:rPr>
              <w:t>Wilmot J.M. Paye</w:t>
            </w:r>
            <w:r w:rsidRPr="00B64E68">
              <w:rPr>
                <w:rFonts w:ascii="Times New Roman" w:eastAsia="Calibri" w:hAnsi="Times New Roman" w:cs="Times New Roman"/>
                <w:sz w:val="24"/>
                <w:szCs w:val="24"/>
              </w:rPr>
              <w:t xml:space="preserve">, </w:t>
            </w:r>
            <w:r w:rsidR="00B43092">
              <w:rPr>
                <w:rFonts w:ascii="Times New Roman" w:eastAsia="Calibri" w:hAnsi="Times New Roman" w:cs="Times New Roman"/>
                <w:sz w:val="24"/>
                <w:szCs w:val="24"/>
              </w:rPr>
              <w:t>Minister of Mines</w:t>
            </w:r>
            <w:r w:rsidRPr="00B64E68">
              <w:rPr>
                <w:rFonts w:ascii="Times New Roman" w:eastAsia="Calibri" w:hAnsi="Times New Roman" w:cs="Times New Roman"/>
                <w:sz w:val="24"/>
                <w:szCs w:val="24"/>
              </w:rPr>
              <w:t xml:space="preserve">, as Chair of the MSG and Hon. </w:t>
            </w:r>
            <w:r w:rsidR="00B43092">
              <w:rPr>
                <w:rFonts w:ascii="Times New Roman" w:eastAsia="Calibri" w:hAnsi="Times New Roman" w:cs="Times New Roman"/>
                <w:sz w:val="24"/>
                <w:szCs w:val="24"/>
              </w:rPr>
              <w:t xml:space="preserve">Augustine K. </w:t>
            </w:r>
            <w:proofErr w:type="spellStart"/>
            <w:r w:rsidR="00B43092">
              <w:rPr>
                <w:rFonts w:ascii="Times New Roman" w:eastAsia="Calibri" w:hAnsi="Times New Roman" w:cs="Times New Roman"/>
                <w:sz w:val="24"/>
                <w:szCs w:val="24"/>
              </w:rPr>
              <w:t>Ngafuan</w:t>
            </w:r>
            <w:proofErr w:type="spellEnd"/>
            <w:r w:rsidRPr="00B64E68">
              <w:rPr>
                <w:rFonts w:ascii="Times New Roman" w:eastAsia="Calibri" w:hAnsi="Times New Roman" w:cs="Times New Roman"/>
                <w:sz w:val="24"/>
                <w:szCs w:val="24"/>
              </w:rPr>
              <w:t xml:space="preserve">, Minister of </w:t>
            </w:r>
            <w:r w:rsidR="00B43092">
              <w:rPr>
                <w:rFonts w:ascii="Times New Roman" w:eastAsia="Calibri" w:hAnsi="Times New Roman" w:cs="Times New Roman"/>
                <w:sz w:val="24"/>
                <w:szCs w:val="24"/>
              </w:rPr>
              <w:t>Finance and Development Planning</w:t>
            </w:r>
            <w:r w:rsidRPr="00B64E68">
              <w:rPr>
                <w:rFonts w:ascii="Times New Roman" w:eastAsia="Calibri" w:hAnsi="Times New Roman" w:cs="Times New Roman"/>
                <w:sz w:val="24"/>
                <w:szCs w:val="24"/>
              </w:rPr>
              <w:t xml:space="preserve">, as Co-Chair. </w:t>
            </w:r>
            <w:r w:rsidR="00B43092">
              <w:rPr>
                <w:rFonts w:ascii="Times New Roman" w:eastAsia="Calibri" w:hAnsi="Times New Roman" w:cs="Times New Roman"/>
                <w:sz w:val="24"/>
                <w:szCs w:val="24"/>
              </w:rPr>
              <w:t xml:space="preserve">However, Minister Paye was replaced by Minister R. </w:t>
            </w:r>
            <w:proofErr w:type="spellStart"/>
            <w:r w:rsidR="00B43092">
              <w:rPr>
                <w:rFonts w:ascii="Times New Roman" w:eastAsia="Calibri" w:hAnsi="Times New Roman" w:cs="Times New Roman"/>
                <w:sz w:val="24"/>
                <w:szCs w:val="24"/>
              </w:rPr>
              <w:t>Matenokay</w:t>
            </w:r>
            <w:proofErr w:type="spellEnd"/>
            <w:r w:rsidR="00B43092">
              <w:rPr>
                <w:rFonts w:ascii="Times New Roman" w:eastAsia="Calibri" w:hAnsi="Times New Roman" w:cs="Times New Roman"/>
                <w:sz w:val="24"/>
                <w:szCs w:val="24"/>
              </w:rPr>
              <w:t xml:space="preserve"> Tingban. </w:t>
            </w:r>
          </w:p>
          <w:p w14:paraId="33329ECC" w14:textId="77777777" w:rsidR="00423D65" w:rsidRPr="00B64E68" w:rsidRDefault="00423D65" w:rsidP="0057476A">
            <w:pPr>
              <w:spacing w:after="80"/>
              <w:jc w:val="both"/>
              <w:rPr>
                <w:rFonts w:ascii="Times New Roman" w:eastAsia="Calibri" w:hAnsi="Times New Roman" w:cs="Times New Roman"/>
                <w:sz w:val="24"/>
                <w:szCs w:val="24"/>
              </w:rPr>
            </w:pPr>
          </w:p>
          <w:p w14:paraId="3802BB52" w14:textId="77777777" w:rsidR="00423D65" w:rsidRPr="00B64E68" w:rsidRDefault="00423D65" w:rsidP="0057476A">
            <w:pPr>
              <w:spacing w:after="80"/>
              <w:jc w:val="both"/>
              <w:rPr>
                <w:rFonts w:ascii="Times New Roman" w:eastAsia="Calibri" w:hAnsi="Times New Roman" w:cs="Times New Roman"/>
                <w:sz w:val="24"/>
                <w:szCs w:val="24"/>
              </w:rPr>
            </w:pPr>
          </w:p>
          <w:p w14:paraId="5BD91001" w14:textId="77777777" w:rsidR="00423D65" w:rsidRPr="00B64E68" w:rsidRDefault="00423D65" w:rsidP="0057476A">
            <w:pPr>
              <w:spacing w:after="80"/>
              <w:jc w:val="both"/>
              <w:rPr>
                <w:rFonts w:ascii="Times New Roman" w:eastAsia="Calibri" w:hAnsi="Times New Roman" w:cs="Times New Roman"/>
                <w:sz w:val="24"/>
                <w:szCs w:val="24"/>
              </w:rPr>
            </w:pPr>
          </w:p>
          <w:p w14:paraId="3147E0B0" w14:textId="77777777" w:rsidR="00423D65" w:rsidRPr="00B64E68" w:rsidRDefault="00423D65" w:rsidP="0057476A">
            <w:pPr>
              <w:spacing w:after="80"/>
              <w:jc w:val="both"/>
              <w:rPr>
                <w:rFonts w:ascii="Times New Roman" w:eastAsia="Calibri" w:hAnsi="Times New Roman" w:cs="Times New Roman"/>
                <w:sz w:val="24"/>
                <w:szCs w:val="24"/>
              </w:rPr>
            </w:pPr>
          </w:p>
          <w:p w14:paraId="2D83901D" w14:textId="77777777" w:rsidR="00423D65" w:rsidRPr="00B64E68" w:rsidRDefault="00423D65" w:rsidP="0057476A">
            <w:pPr>
              <w:spacing w:after="80"/>
              <w:jc w:val="both"/>
              <w:rPr>
                <w:rFonts w:ascii="Times New Roman" w:eastAsia="Calibri" w:hAnsi="Times New Roman" w:cs="Times New Roman"/>
                <w:sz w:val="24"/>
                <w:szCs w:val="24"/>
              </w:rPr>
            </w:pPr>
          </w:p>
          <w:p w14:paraId="2B3C69A6" w14:textId="77777777" w:rsidR="00423D65" w:rsidRPr="00B64E68" w:rsidRDefault="00423D65" w:rsidP="0057476A">
            <w:pPr>
              <w:spacing w:after="80"/>
              <w:jc w:val="both"/>
              <w:rPr>
                <w:rFonts w:ascii="Times New Roman" w:eastAsia="Calibri" w:hAnsi="Times New Roman" w:cs="Times New Roman"/>
                <w:sz w:val="24"/>
                <w:szCs w:val="24"/>
              </w:rPr>
            </w:pPr>
          </w:p>
          <w:p w14:paraId="73734A54" w14:textId="4A57031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MSG </w:t>
            </w:r>
            <w:r w:rsidR="00FC4BDF">
              <w:rPr>
                <w:rFonts w:ascii="Times New Roman" w:eastAsia="Calibri" w:hAnsi="Times New Roman" w:cs="Times New Roman"/>
                <w:sz w:val="24"/>
                <w:szCs w:val="24"/>
              </w:rPr>
              <w:t>regularly</w:t>
            </w:r>
            <w:r w:rsidRPr="00B64E68">
              <w:rPr>
                <w:rFonts w:ascii="Times New Roman" w:eastAsia="Calibri" w:hAnsi="Times New Roman" w:cs="Times New Roman"/>
                <w:sz w:val="24"/>
                <w:szCs w:val="24"/>
              </w:rPr>
              <w:t xml:space="preserve"> met during the period </w:t>
            </w:r>
            <w:r w:rsidR="00FC4BDF">
              <w:rPr>
                <w:rFonts w:ascii="Times New Roman" w:eastAsia="Calibri" w:hAnsi="Times New Roman" w:cs="Times New Roman"/>
                <w:sz w:val="24"/>
                <w:szCs w:val="24"/>
              </w:rPr>
              <w:t>under review</w:t>
            </w:r>
            <w:r w:rsidRPr="00B64E68">
              <w:rPr>
                <w:rFonts w:ascii="Times New Roman" w:eastAsia="Calibri" w:hAnsi="Times New Roman" w:cs="Times New Roman"/>
                <w:sz w:val="24"/>
                <w:szCs w:val="24"/>
              </w:rPr>
              <w:t xml:space="preserve">. There was a quorum at all these </w:t>
            </w:r>
            <w:r w:rsidRPr="00B64E68">
              <w:rPr>
                <w:rFonts w:ascii="Times New Roman" w:eastAsia="Calibri" w:hAnsi="Times New Roman" w:cs="Times New Roman"/>
                <w:sz w:val="24"/>
                <w:szCs w:val="24"/>
              </w:rPr>
              <w:lastRenderedPageBreak/>
              <w:t xml:space="preserve">meetings with the government at the senior and middle levels. </w:t>
            </w:r>
          </w:p>
          <w:p w14:paraId="28F76490" w14:textId="77777777" w:rsidR="00423D65" w:rsidRPr="00B64E68" w:rsidRDefault="00423D65" w:rsidP="0057476A">
            <w:pPr>
              <w:spacing w:after="80"/>
              <w:jc w:val="both"/>
              <w:rPr>
                <w:rFonts w:ascii="Times New Roman" w:eastAsia="Calibri" w:hAnsi="Times New Roman" w:cs="Times New Roman"/>
                <w:sz w:val="24"/>
                <w:szCs w:val="24"/>
              </w:rPr>
            </w:pPr>
          </w:p>
          <w:p w14:paraId="35D9BF74" w14:textId="7FC2DDD9"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government’s composition on the MSG is represented at the senior level.  For example, </w:t>
            </w:r>
            <w:r w:rsidR="006E11F0">
              <w:rPr>
                <w:rFonts w:ascii="Times New Roman" w:eastAsia="Calibri" w:hAnsi="Times New Roman" w:cs="Times New Roman"/>
                <w:sz w:val="24"/>
                <w:szCs w:val="24"/>
              </w:rPr>
              <w:t xml:space="preserve">the former and current chairpersons of the MSG presided over all MSG meetings. At the same time, the Deputy Minister for Fiscal Affairs regularly represented the Minister of Finance and Development Planning. </w:t>
            </w:r>
            <w:r w:rsidRPr="00B64E68">
              <w:rPr>
                <w:rFonts w:ascii="Times New Roman" w:eastAsia="Calibri" w:hAnsi="Times New Roman" w:cs="Times New Roman"/>
                <w:sz w:val="24"/>
                <w:szCs w:val="24"/>
              </w:rPr>
              <w:t xml:space="preserve"> </w:t>
            </w:r>
          </w:p>
        </w:tc>
      </w:tr>
      <w:tr w:rsidR="00423D65" w:rsidRPr="00B64E68" w14:paraId="11620BBF" w14:textId="77777777" w:rsidTr="0057476A">
        <w:tc>
          <w:tcPr>
            <w:tcW w:w="4788" w:type="dxa"/>
          </w:tcPr>
          <w:p w14:paraId="7E56E46D" w14:textId="77777777" w:rsidR="00423D65" w:rsidRPr="00B64E68" w:rsidRDefault="00423D65" w:rsidP="0057476A">
            <w:pPr>
              <w:spacing w:after="80"/>
              <w:jc w:val="both"/>
              <w:rPr>
                <w:rFonts w:ascii="Times New Roman" w:eastAsia="Calibri" w:hAnsi="Times New Roman" w:cs="Times New Roman"/>
                <w:b/>
                <w:sz w:val="24"/>
                <w:szCs w:val="24"/>
                <w:u w:val="single"/>
              </w:rPr>
            </w:pPr>
            <w:r w:rsidRPr="00B64E68">
              <w:rPr>
                <w:rFonts w:ascii="Times New Roman" w:eastAsia="Calibri" w:hAnsi="Times New Roman" w:cs="Times New Roman"/>
                <w:b/>
                <w:sz w:val="24"/>
                <w:szCs w:val="24"/>
                <w:u w:val="single"/>
              </w:rPr>
              <w:t>1.2 Company engagement.</w:t>
            </w:r>
          </w:p>
          <w:p w14:paraId="66863723" w14:textId="77777777" w:rsidR="00423D65" w:rsidRPr="00B64E68" w:rsidRDefault="00423D65" w:rsidP="0057476A">
            <w:pPr>
              <w:spacing w:after="80"/>
              <w:jc w:val="both"/>
              <w:rPr>
                <w:rFonts w:ascii="Times New Roman" w:eastAsia="Calibri" w:hAnsi="Times New Roman" w:cs="Times New Roman"/>
                <w:b/>
                <w:sz w:val="24"/>
                <w:szCs w:val="24"/>
                <w:u w:val="single"/>
              </w:rPr>
            </w:pPr>
          </w:p>
          <w:p w14:paraId="45FE1833"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1.2 (a)</w:t>
            </w:r>
          </w:p>
          <w:p w14:paraId="3FF3383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Companies must be fully, actively, and effectively engaged in the EITI process. </w:t>
            </w:r>
          </w:p>
          <w:p w14:paraId="70C16296" w14:textId="77777777" w:rsidR="00423D65" w:rsidRPr="00B64E68" w:rsidRDefault="00423D65" w:rsidP="0057476A">
            <w:pPr>
              <w:spacing w:after="80"/>
              <w:jc w:val="both"/>
              <w:rPr>
                <w:rFonts w:ascii="Times New Roman" w:eastAsia="Calibri" w:hAnsi="Times New Roman" w:cs="Times New Roman"/>
                <w:sz w:val="24"/>
                <w:szCs w:val="24"/>
              </w:rPr>
            </w:pPr>
          </w:p>
          <w:p w14:paraId="45EFF9F2" w14:textId="77777777" w:rsidR="00423D65" w:rsidRPr="00B64E68" w:rsidRDefault="00423D65" w:rsidP="0057476A">
            <w:pPr>
              <w:spacing w:after="80"/>
              <w:jc w:val="both"/>
              <w:rPr>
                <w:rFonts w:ascii="Times New Roman" w:eastAsia="Calibri" w:hAnsi="Times New Roman" w:cs="Times New Roman"/>
                <w:sz w:val="24"/>
                <w:szCs w:val="24"/>
              </w:rPr>
            </w:pPr>
          </w:p>
          <w:p w14:paraId="225490A8" w14:textId="77777777" w:rsidR="00423D65" w:rsidRPr="00B64E68" w:rsidRDefault="00423D65" w:rsidP="0057476A">
            <w:pPr>
              <w:spacing w:after="80"/>
              <w:jc w:val="both"/>
              <w:rPr>
                <w:rFonts w:ascii="Times New Roman" w:eastAsia="Calibri" w:hAnsi="Times New Roman" w:cs="Times New Roman"/>
                <w:sz w:val="24"/>
                <w:szCs w:val="24"/>
              </w:rPr>
            </w:pPr>
          </w:p>
          <w:p w14:paraId="213E4B69" w14:textId="77777777" w:rsidR="00423D65" w:rsidRPr="00B64E68" w:rsidRDefault="00423D65" w:rsidP="0057476A">
            <w:pPr>
              <w:spacing w:after="80"/>
              <w:jc w:val="both"/>
              <w:rPr>
                <w:rFonts w:ascii="Times New Roman" w:eastAsia="Calibri" w:hAnsi="Times New Roman" w:cs="Times New Roman"/>
                <w:sz w:val="24"/>
                <w:szCs w:val="24"/>
              </w:rPr>
            </w:pPr>
          </w:p>
          <w:p w14:paraId="6DDFAE78" w14:textId="77777777" w:rsidR="00423D65" w:rsidRPr="00B64E68" w:rsidRDefault="00423D65" w:rsidP="0057476A">
            <w:pPr>
              <w:spacing w:after="80"/>
              <w:jc w:val="both"/>
              <w:rPr>
                <w:rFonts w:ascii="Times New Roman" w:eastAsia="Calibri" w:hAnsi="Times New Roman" w:cs="Times New Roman"/>
                <w:sz w:val="24"/>
                <w:szCs w:val="24"/>
              </w:rPr>
            </w:pPr>
          </w:p>
          <w:p w14:paraId="39351BB1" w14:textId="77777777" w:rsidR="00423D65" w:rsidRPr="00B64E68" w:rsidRDefault="00423D65" w:rsidP="0057476A">
            <w:pPr>
              <w:spacing w:after="80"/>
              <w:jc w:val="both"/>
              <w:rPr>
                <w:rFonts w:ascii="Times New Roman" w:eastAsia="Calibri" w:hAnsi="Times New Roman" w:cs="Times New Roman"/>
                <w:sz w:val="24"/>
                <w:szCs w:val="24"/>
              </w:rPr>
            </w:pPr>
          </w:p>
          <w:p w14:paraId="457436EF"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1.2 (b)</w:t>
            </w:r>
          </w:p>
          <w:p w14:paraId="166C3C4E"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government must ensure an enabling environment for company participation concerning relevant laws, regulations, administrative rules, and actual practice in implementing the EITI.  The fundamental rights of company representatives substantively engaged in the EITI, including but not restricted to multi-stakeholder group members, must be respected.</w:t>
            </w:r>
          </w:p>
          <w:p w14:paraId="515228C5" w14:textId="77777777" w:rsidR="00423D65" w:rsidRPr="00B64E68" w:rsidRDefault="00423D65" w:rsidP="0057476A">
            <w:pPr>
              <w:spacing w:after="80"/>
              <w:jc w:val="both"/>
              <w:rPr>
                <w:rFonts w:ascii="Times New Roman" w:eastAsia="Calibri" w:hAnsi="Times New Roman" w:cs="Times New Roman"/>
                <w:sz w:val="24"/>
                <w:szCs w:val="24"/>
              </w:rPr>
            </w:pPr>
          </w:p>
          <w:p w14:paraId="57F2DC64" w14:textId="77777777" w:rsidR="00423D65" w:rsidRPr="00B64E68" w:rsidRDefault="00423D65" w:rsidP="0057476A">
            <w:pPr>
              <w:spacing w:after="80"/>
              <w:jc w:val="both"/>
              <w:rPr>
                <w:rFonts w:ascii="Times New Roman" w:eastAsia="Calibri" w:hAnsi="Times New Roman" w:cs="Times New Roman"/>
                <w:sz w:val="24"/>
                <w:szCs w:val="24"/>
              </w:rPr>
            </w:pPr>
          </w:p>
          <w:p w14:paraId="1AFDC577" w14:textId="77777777" w:rsidR="00423D65" w:rsidRPr="00B64E68" w:rsidRDefault="00423D65" w:rsidP="0057476A">
            <w:pPr>
              <w:spacing w:after="80"/>
              <w:jc w:val="both"/>
              <w:rPr>
                <w:rFonts w:ascii="Times New Roman" w:eastAsia="Calibri" w:hAnsi="Times New Roman" w:cs="Times New Roman"/>
                <w:sz w:val="24"/>
                <w:szCs w:val="24"/>
              </w:rPr>
            </w:pPr>
          </w:p>
          <w:p w14:paraId="148D379B"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 xml:space="preserve">Requirement 1.2 </w:t>
            </w:r>
            <w:proofErr w:type="gramStart"/>
            <w:r w:rsidRPr="00B64E68">
              <w:rPr>
                <w:rFonts w:ascii="Times New Roman" w:eastAsia="Calibri" w:hAnsi="Times New Roman" w:cs="Times New Roman"/>
                <w:sz w:val="24"/>
                <w:szCs w:val="24"/>
                <w:u w:val="single"/>
              </w:rPr>
              <w:t>( c</w:t>
            </w:r>
            <w:proofErr w:type="gramEnd"/>
            <w:r w:rsidRPr="00B64E68">
              <w:rPr>
                <w:rFonts w:ascii="Times New Roman" w:eastAsia="Calibri" w:hAnsi="Times New Roman" w:cs="Times New Roman"/>
                <w:sz w:val="24"/>
                <w:szCs w:val="24"/>
                <w:u w:val="single"/>
              </w:rPr>
              <w:t>)</w:t>
            </w:r>
          </w:p>
          <w:p w14:paraId="089AF2D4"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government must ensure no obstacles to company participation in the EITI process.</w:t>
            </w:r>
          </w:p>
        </w:tc>
        <w:tc>
          <w:tcPr>
            <w:tcW w:w="4788" w:type="dxa"/>
          </w:tcPr>
          <w:p w14:paraId="4845F53E" w14:textId="09A9CE6E"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The reviewed period witnessed the full participation of companies in the EITI process as respective co</w:t>
            </w:r>
            <w:r w:rsidR="00852C6F">
              <w:rPr>
                <w:rFonts w:ascii="Times New Roman" w:eastAsia="Calibri" w:hAnsi="Times New Roman" w:cs="Times New Roman"/>
                <w:sz w:val="24"/>
                <w:szCs w:val="24"/>
              </w:rPr>
              <w:t>nstituents</w:t>
            </w:r>
            <w:r w:rsidRPr="00B64E68">
              <w:rPr>
                <w:rFonts w:ascii="Times New Roman" w:eastAsia="Calibri" w:hAnsi="Times New Roman" w:cs="Times New Roman"/>
                <w:sz w:val="24"/>
                <w:szCs w:val="24"/>
              </w:rPr>
              <w:t>’ representatives attended MSG meetings and contributed to consensual decision-making, especially in approving the workplan and TOR for the</w:t>
            </w:r>
            <w:r w:rsidR="00852C6F">
              <w:rPr>
                <w:rFonts w:ascii="Times New Roman" w:eastAsia="Calibri" w:hAnsi="Times New Roman" w:cs="Times New Roman"/>
                <w:sz w:val="24"/>
                <w:szCs w:val="24"/>
              </w:rPr>
              <w:t xml:space="preserve"> 16</w:t>
            </w:r>
            <w:r w:rsidR="00852C6F" w:rsidRPr="00852C6F">
              <w:rPr>
                <w:rFonts w:ascii="Times New Roman" w:eastAsia="Calibri" w:hAnsi="Times New Roman" w:cs="Times New Roman"/>
                <w:sz w:val="24"/>
                <w:szCs w:val="24"/>
                <w:vertAlign w:val="superscript"/>
              </w:rPr>
              <w:t>th</w:t>
            </w:r>
            <w:r w:rsidR="00852C6F">
              <w:rPr>
                <w:rFonts w:ascii="Times New Roman" w:eastAsia="Calibri" w:hAnsi="Times New Roman" w:cs="Times New Roman"/>
                <w:sz w:val="24"/>
                <w:szCs w:val="24"/>
              </w:rPr>
              <w:t xml:space="preserve"> EITI Report, Updated Simplified Contract Matrix and Compliance Investigation Reports. </w:t>
            </w:r>
            <w:r w:rsidRPr="00B64E68">
              <w:rPr>
                <w:rFonts w:ascii="Times New Roman" w:eastAsia="Calibri" w:hAnsi="Times New Roman" w:cs="Times New Roman"/>
                <w:sz w:val="24"/>
                <w:szCs w:val="24"/>
              </w:rPr>
              <w:t xml:space="preserve"> </w:t>
            </w:r>
          </w:p>
          <w:p w14:paraId="3EDE188D" w14:textId="3E83794A"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Under </w:t>
            </w:r>
            <w:r w:rsidR="00852C6F">
              <w:rPr>
                <w:rFonts w:ascii="Times New Roman" w:eastAsia="Calibri" w:hAnsi="Times New Roman" w:cs="Times New Roman"/>
                <w:sz w:val="24"/>
                <w:szCs w:val="24"/>
              </w:rPr>
              <w:t>Article 6.4C of the LEITI Act, the industry is guaranteed at least four seats in the MSG, including at least</w:t>
            </w:r>
            <w:r w:rsidRPr="00B64E68">
              <w:rPr>
                <w:rFonts w:ascii="Times New Roman" w:eastAsia="Calibri" w:hAnsi="Times New Roman" w:cs="Times New Roman"/>
                <w:sz w:val="24"/>
                <w:szCs w:val="24"/>
              </w:rPr>
              <w:t xml:space="preserve"> one seat each for companies in the mining, forestry, agriculture, and </w:t>
            </w:r>
            <w:r w:rsidR="00852C6F">
              <w:rPr>
                <w:rFonts w:ascii="Times New Roman" w:eastAsia="Calibri" w:hAnsi="Times New Roman" w:cs="Times New Roman"/>
                <w:sz w:val="24"/>
                <w:szCs w:val="24"/>
              </w:rPr>
              <w:t>oil and gas</w:t>
            </w:r>
            <w:r w:rsidRPr="00B64E68">
              <w:rPr>
                <w:rFonts w:ascii="Times New Roman" w:eastAsia="Calibri" w:hAnsi="Times New Roman" w:cs="Times New Roman"/>
                <w:sz w:val="24"/>
                <w:szCs w:val="24"/>
              </w:rPr>
              <w:t xml:space="preserve"> sectors. The current MSG </w:t>
            </w:r>
            <w:r w:rsidR="00852C6F">
              <w:rPr>
                <w:rFonts w:ascii="Times New Roman" w:eastAsia="Calibri" w:hAnsi="Times New Roman" w:cs="Times New Roman"/>
                <w:sz w:val="24"/>
                <w:szCs w:val="24"/>
              </w:rPr>
              <w:t xml:space="preserve">comprises Golden </w:t>
            </w:r>
            <w:proofErr w:type="spellStart"/>
            <w:r w:rsidR="00852C6F">
              <w:rPr>
                <w:rFonts w:ascii="Times New Roman" w:eastAsia="Calibri" w:hAnsi="Times New Roman" w:cs="Times New Roman"/>
                <w:sz w:val="24"/>
                <w:szCs w:val="24"/>
              </w:rPr>
              <w:t>Veroleum</w:t>
            </w:r>
            <w:proofErr w:type="spellEnd"/>
            <w:r w:rsidR="00852C6F">
              <w:rPr>
                <w:rFonts w:ascii="Times New Roman" w:eastAsia="Calibri" w:hAnsi="Times New Roman" w:cs="Times New Roman"/>
                <w:sz w:val="24"/>
                <w:szCs w:val="24"/>
              </w:rPr>
              <w:t xml:space="preserve">, an oil palm developer, representing agriculture; the Liberia Chamber of Mines, representing mining; the Liberia Timber Association, representing forestry; </w:t>
            </w:r>
            <w:r w:rsidRPr="00B64E68">
              <w:rPr>
                <w:rFonts w:ascii="Times New Roman" w:eastAsia="Calibri" w:hAnsi="Times New Roman" w:cs="Times New Roman"/>
                <w:sz w:val="24"/>
                <w:szCs w:val="24"/>
              </w:rPr>
              <w:t>and the Liberia Business Association</w:t>
            </w:r>
            <w:r w:rsidR="00852C6F">
              <w:rPr>
                <w:rFonts w:ascii="Times New Roman" w:eastAsia="Calibri" w:hAnsi="Times New Roman" w:cs="Times New Roman"/>
                <w:sz w:val="24"/>
                <w:szCs w:val="24"/>
              </w:rPr>
              <w:t>, representing the Oil and Gas sector</w:t>
            </w:r>
            <w:r w:rsidRPr="00B64E68">
              <w:rPr>
                <w:rFonts w:ascii="Times New Roman" w:eastAsia="Calibri" w:hAnsi="Times New Roman" w:cs="Times New Roman"/>
                <w:sz w:val="24"/>
                <w:szCs w:val="24"/>
              </w:rPr>
              <w:t xml:space="preserve">. </w:t>
            </w:r>
            <w:r w:rsidR="00852C6F">
              <w:rPr>
                <w:rFonts w:ascii="Times New Roman" w:eastAsia="Calibri" w:hAnsi="Times New Roman" w:cs="Times New Roman"/>
                <w:sz w:val="24"/>
                <w:szCs w:val="24"/>
              </w:rPr>
              <w:t>Senior-level managers represent all of these</w:t>
            </w:r>
            <w:r w:rsidRPr="00B64E68">
              <w:rPr>
                <w:rFonts w:ascii="Times New Roman" w:eastAsia="Calibri" w:hAnsi="Times New Roman" w:cs="Times New Roman"/>
                <w:sz w:val="24"/>
                <w:szCs w:val="24"/>
              </w:rPr>
              <w:t xml:space="preserve">. During the period under review, the private sector’s participation was well documented through the meeting minutes, and there was no incidence of coercion. </w:t>
            </w:r>
          </w:p>
          <w:p w14:paraId="6960A892" w14:textId="77777777" w:rsidR="00423D65" w:rsidRPr="00B64E68" w:rsidRDefault="00423D65" w:rsidP="0057476A">
            <w:pPr>
              <w:spacing w:after="80"/>
              <w:jc w:val="both"/>
              <w:rPr>
                <w:rFonts w:ascii="Times New Roman" w:eastAsia="Calibri" w:hAnsi="Times New Roman" w:cs="Times New Roman"/>
                <w:sz w:val="24"/>
                <w:szCs w:val="24"/>
              </w:rPr>
            </w:pPr>
          </w:p>
          <w:p w14:paraId="3C2FD09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Decision-making on the MSG is by consensus. In instances where consensus-building cannot hold, MSG members, including CSOs and companies, have the right to vote without molestation or harassment.  However, the review period saw a level playing field for companies’ representation on the MSG. All decisions taken during the reporting period were reached through consensus-building</w:t>
            </w:r>
          </w:p>
        </w:tc>
      </w:tr>
      <w:tr w:rsidR="00423D65" w:rsidRPr="00B64E68" w14:paraId="1DC1ECB9" w14:textId="77777777" w:rsidTr="0057476A">
        <w:tc>
          <w:tcPr>
            <w:tcW w:w="4788" w:type="dxa"/>
          </w:tcPr>
          <w:p w14:paraId="79695E86" w14:textId="77777777" w:rsidR="00423D65" w:rsidRPr="00B64E68" w:rsidRDefault="00423D65" w:rsidP="0057476A">
            <w:pPr>
              <w:spacing w:after="80"/>
              <w:jc w:val="both"/>
              <w:rPr>
                <w:rFonts w:ascii="Times New Roman" w:eastAsia="Calibri" w:hAnsi="Times New Roman" w:cs="Times New Roman"/>
                <w:b/>
                <w:sz w:val="24"/>
                <w:szCs w:val="24"/>
                <w:u w:val="single"/>
              </w:rPr>
            </w:pPr>
            <w:r w:rsidRPr="00B64E68">
              <w:rPr>
                <w:rFonts w:ascii="Times New Roman" w:eastAsia="Calibri" w:hAnsi="Times New Roman" w:cs="Times New Roman"/>
                <w:b/>
                <w:sz w:val="24"/>
                <w:szCs w:val="24"/>
                <w:u w:val="single"/>
              </w:rPr>
              <w:t>1.3 Civil Society Engagement</w:t>
            </w:r>
          </w:p>
          <w:p w14:paraId="5A5C271A" w14:textId="77777777" w:rsidR="00423D65" w:rsidRPr="00B64E68" w:rsidRDefault="00423D65" w:rsidP="0057476A">
            <w:pPr>
              <w:spacing w:after="80"/>
              <w:jc w:val="both"/>
              <w:rPr>
                <w:rFonts w:ascii="Times New Roman" w:eastAsia="Calibri" w:hAnsi="Times New Roman" w:cs="Times New Roman"/>
                <w:sz w:val="24"/>
                <w:szCs w:val="24"/>
              </w:rPr>
            </w:pPr>
          </w:p>
          <w:p w14:paraId="1C54E3FE"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1.3 (a)</w:t>
            </w:r>
          </w:p>
          <w:p w14:paraId="7FBB4F0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Civil society must be fully, actively, and effectively engaged in the EITI process.</w:t>
            </w:r>
          </w:p>
          <w:p w14:paraId="4FD4A660" w14:textId="77777777" w:rsidR="00423D65" w:rsidRPr="00B64E68" w:rsidRDefault="00423D65" w:rsidP="0057476A">
            <w:pPr>
              <w:spacing w:after="80"/>
              <w:jc w:val="both"/>
              <w:rPr>
                <w:rFonts w:ascii="Times New Roman" w:eastAsia="Calibri" w:hAnsi="Times New Roman" w:cs="Times New Roman"/>
                <w:sz w:val="24"/>
                <w:szCs w:val="24"/>
              </w:rPr>
            </w:pPr>
          </w:p>
          <w:p w14:paraId="2BFF8612" w14:textId="77777777" w:rsidR="00423D65" w:rsidRPr="00B64E68" w:rsidRDefault="00423D65" w:rsidP="0057476A">
            <w:pPr>
              <w:spacing w:after="80"/>
              <w:jc w:val="both"/>
              <w:rPr>
                <w:rFonts w:ascii="Times New Roman" w:eastAsia="Calibri" w:hAnsi="Times New Roman" w:cs="Times New Roman"/>
                <w:sz w:val="24"/>
                <w:szCs w:val="24"/>
              </w:rPr>
            </w:pPr>
          </w:p>
          <w:p w14:paraId="04C7282D" w14:textId="77777777" w:rsidR="00423D65" w:rsidRPr="00B64E68" w:rsidRDefault="00423D65" w:rsidP="0057476A">
            <w:pPr>
              <w:spacing w:after="80"/>
              <w:jc w:val="both"/>
              <w:rPr>
                <w:rFonts w:ascii="Times New Roman" w:eastAsia="Calibri" w:hAnsi="Times New Roman" w:cs="Times New Roman"/>
                <w:sz w:val="24"/>
                <w:szCs w:val="24"/>
              </w:rPr>
            </w:pPr>
          </w:p>
          <w:p w14:paraId="675CEC56" w14:textId="77777777" w:rsidR="00423D65" w:rsidRPr="00B64E68" w:rsidRDefault="00423D65" w:rsidP="0057476A">
            <w:pPr>
              <w:spacing w:after="80"/>
              <w:jc w:val="both"/>
              <w:rPr>
                <w:rFonts w:ascii="Times New Roman" w:eastAsia="Calibri" w:hAnsi="Times New Roman" w:cs="Times New Roman"/>
                <w:sz w:val="24"/>
                <w:szCs w:val="24"/>
              </w:rPr>
            </w:pPr>
          </w:p>
          <w:p w14:paraId="72E37C9A" w14:textId="77777777" w:rsidR="00423D65" w:rsidRPr="00B64E68" w:rsidRDefault="00423D65" w:rsidP="0057476A">
            <w:pPr>
              <w:spacing w:after="80"/>
              <w:jc w:val="both"/>
              <w:rPr>
                <w:rFonts w:ascii="Times New Roman" w:eastAsia="Calibri" w:hAnsi="Times New Roman" w:cs="Times New Roman"/>
                <w:sz w:val="24"/>
                <w:szCs w:val="24"/>
              </w:rPr>
            </w:pPr>
          </w:p>
          <w:p w14:paraId="1C30063A" w14:textId="77777777" w:rsidR="00423D65" w:rsidRPr="00B64E68" w:rsidRDefault="00423D65" w:rsidP="0057476A">
            <w:pPr>
              <w:spacing w:after="80"/>
              <w:jc w:val="both"/>
              <w:rPr>
                <w:rFonts w:ascii="Times New Roman" w:eastAsia="Calibri" w:hAnsi="Times New Roman" w:cs="Times New Roman"/>
                <w:sz w:val="24"/>
                <w:szCs w:val="24"/>
              </w:rPr>
            </w:pPr>
          </w:p>
          <w:p w14:paraId="796B904C" w14:textId="77777777" w:rsidR="00423D65" w:rsidRPr="00B64E68" w:rsidRDefault="00423D65" w:rsidP="0057476A">
            <w:pPr>
              <w:spacing w:after="80"/>
              <w:jc w:val="both"/>
              <w:rPr>
                <w:rFonts w:ascii="Times New Roman" w:eastAsia="Calibri" w:hAnsi="Times New Roman" w:cs="Times New Roman"/>
                <w:sz w:val="24"/>
                <w:szCs w:val="24"/>
              </w:rPr>
            </w:pPr>
          </w:p>
          <w:p w14:paraId="2E8B9A6A" w14:textId="77777777" w:rsidR="00423D65" w:rsidRPr="00B64E68" w:rsidRDefault="00423D65" w:rsidP="0057476A">
            <w:pPr>
              <w:spacing w:after="80"/>
              <w:jc w:val="both"/>
              <w:rPr>
                <w:rFonts w:ascii="Times New Roman" w:eastAsia="Calibri" w:hAnsi="Times New Roman" w:cs="Times New Roman"/>
                <w:sz w:val="24"/>
                <w:szCs w:val="24"/>
              </w:rPr>
            </w:pPr>
          </w:p>
          <w:p w14:paraId="3CAF9014" w14:textId="77777777" w:rsidR="00423D65" w:rsidRPr="00B64E68" w:rsidRDefault="00423D65" w:rsidP="0057476A">
            <w:pPr>
              <w:spacing w:after="80"/>
              <w:jc w:val="both"/>
              <w:rPr>
                <w:rFonts w:ascii="Times New Roman" w:eastAsia="Calibri" w:hAnsi="Times New Roman" w:cs="Times New Roman"/>
                <w:sz w:val="24"/>
                <w:szCs w:val="24"/>
              </w:rPr>
            </w:pPr>
          </w:p>
          <w:p w14:paraId="36371241" w14:textId="77777777" w:rsidR="00423D65" w:rsidRPr="00B64E68" w:rsidRDefault="00423D65" w:rsidP="0057476A">
            <w:pPr>
              <w:spacing w:after="80"/>
              <w:jc w:val="both"/>
              <w:rPr>
                <w:rFonts w:ascii="Times New Roman" w:eastAsia="Calibri" w:hAnsi="Times New Roman" w:cs="Times New Roman"/>
                <w:sz w:val="24"/>
                <w:szCs w:val="24"/>
              </w:rPr>
            </w:pPr>
          </w:p>
          <w:p w14:paraId="79C409EC" w14:textId="77777777" w:rsidR="00423D65" w:rsidRPr="00B64E68" w:rsidRDefault="00423D65" w:rsidP="0057476A">
            <w:pPr>
              <w:spacing w:after="80"/>
              <w:jc w:val="both"/>
              <w:rPr>
                <w:rFonts w:ascii="Times New Roman" w:eastAsia="Calibri" w:hAnsi="Times New Roman" w:cs="Times New Roman"/>
                <w:sz w:val="24"/>
                <w:szCs w:val="24"/>
              </w:rPr>
            </w:pPr>
          </w:p>
          <w:p w14:paraId="70BD996B" w14:textId="77777777" w:rsidR="00423D65" w:rsidRPr="00B64E68" w:rsidRDefault="00423D65" w:rsidP="0057476A">
            <w:pPr>
              <w:spacing w:after="80"/>
              <w:jc w:val="both"/>
              <w:rPr>
                <w:rFonts w:ascii="Times New Roman" w:eastAsia="Calibri" w:hAnsi="Times New Roman" w:cs="Times New Roman"/>
                <w:sz w:val="24"/>
                <w:szCs w:val="24"/>
              </w:rPr>
            </w:pPr>
          </w:p>
          <w:p w14:paraId="34B39349" w14:textId="77777777" w:rsidR="00423D65" w:rsidRPr="00B64E68" w:rsidRDefault="00423D65" w:rsidP="0057476A">
            <w:pPr>
              <w:spacing w:after="80"/>
              <w:jc w:val="both"/>
              <w:rPr>
                <w:rFonts w:ascii="Times New Roman" w:eastAsia="Calibri" w:hAnsi="Times New Roman" w:cs="Times New Roman"/>
                <w:sz w:val="24"/>
                <w:szCs w:val="24"/>
                <w:u w:val="single"/>
              </w:rPr>
            </w:pPr>
          </w:p>
          <w:p w14:paraId="78CAA068"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1.3 (b)</w:t>
            </w:r>
          </w:p>
          <w:p w14:paraId="1078AD4C"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government must ensure an enabling environment for civil society participation concerning relevant laws, regulations, administrative rules, and actual practice in implementing the EITI.  The fundamental rights of civil society substantively engaged in the EITI, including but not restricted to </w:t>
            </w:r>
            <w:r w:rsidRPr="00B64E68">
              <w:rPr>
                <w:rFonts w:ascii="Times New Roman" w:eastAsia="Calibri" w:hAnsi="Times New Roman" w:cs="Times New Roman"/>
                <w:sz w:val="24"/>
                <w:szCs w:val="24"/>
              </w:rPr>
              <w:lastRenderedPageBreak/>
              <w:t>members of the multi-stakeholder group, must be respected.</w:t>
            </w:r>
          </w:p>
          <w:p w14:paraId="009CE54D" w14:textId="77777777" w:rsidR="00423D65" w:rsidRPr="00B64E68" w:rsidRDefault="00423D65" w:rsidP="0057476A">
            <w:pPr>
              <w:spacing w:after="80"/>
              <w:jc w:val="both"/>
              <w:rPr>
                <w:rFonts w:ascii="Times New Roman" w:eastAsia="Calibri" w:hAnsi="Times New Roman" w:cs="Times New Roman"/>
                <w:sz w:val="24"/>
                <w:szCs w:val="24"/>
              </w:rPr>
            </w:pPr>
          </w:p>
          <w:p w14:paraId="1E15604A"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1.3 (</w:t>
            </w:r>
            <w:proofErr w:type="gramStart"/>
            <w:r w:rsidRPr="00B64E68">
              <w:rPr>
                <w:rFonts w:ascii="Times New Roman" w:eastAsia="Calibri" w:hAnsi="Times New Roman" w:cs="Times New Roman"/>
                <w:sz w:val="24"/>
                <w:szCs w:val="24"/>
                <w:u w:val="single"/>
              </w:rPr>
              <w:t>c )</w:t>
            </w:r>
            <w:proofErr w:type="gramEnd"/>
          </w:p>
          <w:p w14:paraId="351BBBE5"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government must ensure no obstacles to civil society participation in the EITI process.</w:t>
            </w:r>
          </w:p>
          <w:p w14:paraId="04040A56" w14:textId="77777777" w:rsidR="00423D65" w:rsidRPr="00B64E68" w:rsidRDefault="00423D65" w:rsidP="0057476A">
            <w:pPr>
              <w:spacing w:after="80"/>
              <w:jc w:val="both"/>
              <w:rPr>
                <w:rFonts w:ascii="Times New Roman" w:eastAsia="Calibri" w:hAnsi="Times New Roman" w:cs="Times New Roman"/>
                <w:sz w:val="24"/>
                <w:szCs w:val="24"/>
              </w:rPr>
            </w:pPr>
          </w:p>
          <w:p w14:paraId="2A0D41AC" w14:textId="77777777" w:rsidR="00423D65" w:rsidRPr="00B64E68" w:rsidRDefault="00423D65" w:rsidP="0057476A">
            <w:pPr>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1.3 (d)</w:t>
            </w:r>
          </w:p>
          <w:p w14:paraId="599D3D0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government must refrain from actions that narrow or restrict public debate concerning implementing the EITI. </w:t>
            </w:r>
          </w:p>
          <w:p w14:paraId="003C5B48" w14:textId="77777777" w:rsidR="00423D65" w:rsidRPr="00B64E68" w:rsidRDefault="00423D65" w:rsidP="0057476A">
            <w:pPr>
              <w:spacing w:after="80"/>
              <w:jc w:val="both"/>
              <w:rPr>
                <w:rFonts w:ascii="Times New Roman" w:eastAsia="Calibri" w:hAnsi="Times New Roman" w:cs="Times New Roman"/>
                <w:sz w:val="24"/>
                <w:szCs w:val="24"/>
              </w:rPr>
            </w:pPr>
          </w:p>
          <w:p w14:paraId="2686877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Requirement 1.3 (e) Stakeholders, including but not limited to multi-stakeholder group members, must: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Be able to speak freely on transparency and natural resource governance issues. ii. Be substantially engaged in the design, implementation, monitoring, and evaluation of the EITI process, and ensure that it contributes to public debate. iii. Have the right to communicate and cooperate. iv. Be able to freely express opinions about the EITI without restraint, coercion, or reprisal.</w:t>
            </w:r>
          </w:p>
          <w:p w14:paraId="12079D74" w14:textId="77777777" w:rsidR="00423D65" w:rsidRPr="00B64E68" w:rsidRDefault="00423D65" w:rsidP="0057476A">
            <w:pPr>
              <w:spacing w:after="80"/>
              <w:jc w:val="both"/>
              <w:rPr>
                <w:rFonts w:ascii="Times New Roman" w:eastAsia="Calibri" w:hAnsi="Times New Roman" w:cs="Times New Roman"/>
                <w:sz w:val="24"/>
                <w:szCs w:val="24"/>
              </w:rPr>
            </w:pPr>
          </w:p>
        </w:tc>
        <w:tc>
          <w:tcPr>
            <w:tcW w:w="4788" w:type="dxa"/>
          </w:tcPr>
          <w:p w14:paraId="5CD84709" w14:textId="1DEF7514" w:rsidR="00423D65" w:rsidRPr="0008559E" w:rsidRDefault="00423D65" w:rsidP="0008559E">
            <w:pPr>
              <w:jc w:val="both"/>
              <w:rPr>
                <w:rFonts w:ascii="Times New Roman" w:eastAsia="Times New Roman" w:hAnsi="Times New Roman" w:cs="Times New Roman"/>
                <w:sz w:val="24"/>
                <w:szCs w:val="24"/>
              </w:rPr>
            </w:pPr>
            <w:r w:rsidRPr="00B64E68">
              <w:rPr>
                <w:rFonts w:ascii="Times New Roman" w:eastAsia="Calibri" w:hAnsi="Times New Roman" w:cs="Times New Roman"/>
                <w:sz w:val="24"/>
                <w:szCs w:val="24"/>
              </w:rPr>
              <w:lastRenderedPageBreak/>
              <w:t>CSOs are an integral part of the LEITI, backed by an Act of 2009.  One of the specific objectives of LEITI, according to Article 3.2(a) of the LEITI Act, is “</w:t>
            </w:r>
            <w:r w:rsidRPr="00B64E68">
              <w:rPr>
                <w:rFonts w:ascii="Times New Roman" w:eastAsia="Times New Roman" w:hAnsi="Times New Roman" w:cs="Times New Roman"/>
                <w:sz w:val="24"/>
                <w:szCs w:val="24"/>
              </w:rPr>
              <w:t xml:space="preserve">to promote the effective participation of civil society in the design, implementation, evaluation, and modification of actions, activities, processes and institutional arrangements associated with resource governance in Liberia.” </w:t>
            </w:r>
            <w:r w:rsidRPr="00B64E68">
              <w:rPr>
                <w:rFonts w:ascii="Times New Roman" w:eastAsia="Calibri" w:hAnsi="Times New Roman" w:cs="Times New Roman"/>
                <w:sz w:val="24"/>
                <w:szCs w:val="24"/>
              </w:rPr>
              <w:t>There were CSO representations in all monthly</w:t>
            </w:r>
            <w:r w:rsidR="00305A1E">
              <w:rPr>
                <w:rFonts w:ascii="Times New Roman" w:eastAsia="Calibri" w:hAnsi="Times New Roman" w:cs="Times New Roman"/>
                <w:sz w:val="24"/>
                <w:szCs w:val="24"/>
              </w:rPr>
              <w:t xml:space="preserve">, call, </w:t>
            </w:r>
            <w:r w:rsidRPr="00B64E68">
              <w:rPr>
                <w:rFonts w:ascii="Times New Roman" w:eastAsia="Calibri" w:hAnsi="Times New Roman" w:cs="Times New Roman"/>
                <w:sz w:val="24"/>
                <w:szCs w:val="24"/>
              </w:rPr>
              <w:t xml:space="preserve">and committee meetings during the reviewed period. CSOs made significant contributions to the development of LEITI’s workplan, approval </w:t>
            </w:r>
            <w:r w:rsidR="00305A1E" w:rsidRPr="00B64E68">
              <w:rPr>
                <w:rFonts w:ascii="Times New Roman" w:eastAsia="Calibri" w:hAnsi="Times New Roman" w:cs="Times New Roman"/>
                <w:sz w:val="24"/>
                <w:szCs w:val="24"/>
              </w:rPr>
              <w:t>of the</w:t>
            </w:r>
            <w:r w:rsidRPr="00B64E68">
              <w:rPr>
                <w:rFonts w:ascii="Times New Roman" w:eastAsia="Calibri" w:hAnsi="Times New Roman" w:cs="Times New Roman"/>
                <w:sz w:val="24"/>
                <w:szCs w:val="24"/>
              </w:rPr>
              <w:t xml:space="preserve"> 1</w:t>
            </w:r>
            <w:r w:rsidR="00305A1E">
              <w:rPr>
                <w:rFonts w:ascii="Times New Roman" w:eastAsia="Calibri" w:hAnsi="Times New Roman" w:cs="Times New Roman"/>
                <w:sz w:val="24"/>
                <w:szCs w:val="24"/>
              </w:rPr>
              <w:t>6</w:t>
            </w:r>
            <w:r w:rsidRPr="00B64E68">
              <w:rPr>
                <w:rFonts w:ascii="Times New Roman" w:eastAsia="Calibri" w:hAnsi="Times New Roman" w:cs="Times New Roman"/>
                <w:sz w:val="24"/>
                <w:szCs w:val="24"/>
                <w:vertAlign w:val="superscript"/>
              </w:rPr>
              <w:t>th,</w:t>
            </w:r>
            <w:r w:rsidR="00305A1E">
              <w:rPr>
                <w:rFonts w:ascii="Times New Roman" w:eastAsia="Calibri" w:hAnsi="Times New Roman" w:cs="Times New Roman"/>
                <w:sz w:val="24"/>
                <w:szCs w:val="24"/>
                <w:vertAlign w:val="superscript"/>
              </w:rPr>
              <w:t xml:space="preserve"> </w:t>
            </w:r>
            <w:r w:rsidR="00305A1E">
              <w:rPr>
                <w:rFonts w:ascii="Times New Roman" w:eastAsia="Calibri" w:hAnsi="Times New Roman" w:cs="Times New Roman"/>
                <w:sz w:val="24"/>
                <w:szCs w:val="24"/>
              </w:rPr>
              <w:t xml:space="preserve">EITI Report, Updated Simplified Contract Matrix, and Compliance Investigations </w:t>
            </w:r>
            <w:r w:rsidRPr="00B64E68">
              <w:rPr>
                <w:rFonts w:ascii="Times New Roman" w:eastAsia="Calibri" w:hAnsi="Times New Roman" w:cs="Times New Roman"/>
                <w:sz w:val="24"/>
                <w:szCs w:val="24"/>
              </w:rPr>
              <w:t>TORs</w:t>
            </w:r>
            <w:r w:rsidR="00305A1E">
              <w:rPr>
                <w:rFonts w:ascii="Times New Roman" w:eastAsia="Calibri" w:hAnsi="Times New Roman" w:cs="Times New Roman"/>
                <w:sz w:val="24"/>
                <w:szCs w:val="24"/>
              </w:rPr>
              <w:t>, along with the reports themselves</w:t>
            </w:r>
            <w:r w:rsidRPr="00B64E68">
              <w:rPr>
                <w:rFonts w:ascii="Times New Roman" w:eastAsia="Calibri" w:hAnsi="Times New Roman" w:cs="Times New Roman"/>
                <w:sz w:val="24"/>
                <w:szCs w:val="24"/>
              </w:rPr>
              <w:t>. All of the LEITI dissemination exercises included Civil Society Organizations.</w:t>
            </w:r>
          </w:p>
          <w:p w14:paraId="702A13E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Civil society organizations’ involvement in the LEITI process is legal through legislation. </w:t>
            </w:r>
          </w:p>
          <w:p w14:paraId="4AD5B8D6" w14:textId="77777777" w:rsidR="00423D65" w:rsidRPr="00B64E68" w:rsidRDefault="00423D65" w:rsidP="0057476A">
            <w:pPr>
              <w:spacing w:after="80"/>
              <w:jc w:val="both"/>
              <w:rPr>
                <w:rFonts w:ascii="Times New Roman" w:eastAsia="Calibri" w:hAnsi="Times New Roman" w:cs="Times New Roman"/>
                <w:sz w:val="24"/>
                <w:szCs w:val="24"/>
              </w:rPr>
            </w:pPr>
          </w:p>
          <w:p w14:paraId="1D493D50" w14:textId="3FCB7E9B"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Civil society organizations’ involvement in the LEITI process is legal through legislation. CSOs</w:t>
            </w:r>
            <w:r w:rsidR="0008559E">
              <w:rPr>
                <w:rFonts w:ascii="Times New Roman" w:eastAsia="Calibri" w:hAnsi="Times New Roman" w:cs="Times New Roman"/>
                <w:sz w:val="24"/>
                <w:szCs w:val="24"/>
              </w:rPr>
              <w:t xml:space="preserve">. </w:t>
            </w:r>
            <w:r w:rsidRPr="00B64E68">
              <w:rPr>
                <w:rFonts w:ascii="Times New Roman" w:eastAsia="Calibri" w:hAnsi="Times New Roman" w:cs="Times New Roman"/>
                <w:sz w:val="24"/>
                <w:szCs w:val="24"/>
              </w:rPr>
              <w:t xml:space="preserve">Civil society is </w:t>
            </w:r>
            <w:r w:rsidR="0008559E">
              <w:rPr>
                <w:rFonts w:ascii="Times New Roman" w:eastAsia="Calibri" w:hAnsi="Times New Roman" w:cs="Times New Roman"/>
                <w:sz w:val="24"/>
                <w:szCs w:val="24"/>
              </w:rPr>
              <w:t>fully</w:t>
            </w:r>
            <w:r w:rsidRPr="00B64E68">
              <w:rPr>
                <w:rFonts w:ascii="Times New Roman" w:eastAsia="Calibri" w:hAnsi="Times New Roman" w:cs="Times New Roman"/>
                <w:sz w:val="24"/>
                <w:szCs w:val="24"/>
              </w:rPr>
              <w:t xml:space="preserve"> engaged in designing, implementing, monitoring, and evaluating the EITI process. CSOs participated in outreach </w:t>
            </w:r>
            <w:r w:rsidR="0008559E">
              <w:rPr>
                <w:rFonts w:ascii="Times New Roman" w:eastAsia="Calibri" w:hAnsi="Times New Roman" w:cs="Times New Roman"/>
                <w:sz w:val="24"/>
                <w:szCs w:val="24"/>
              </w:rPr>
              <w:t>to promote public debate, particularly at the county level</w:t>
            </w:r>
            <w:r w:rsidRPr="00B64E68">
              <w:rPr>
                <w:rFonts w:ascii="Times New Roman" w:eastAsia="Calibri" w:hAnsi="Times New Roman" w:cs="Times New Roman"/>
                <w:sz w:val="24"/>
                <w:szCs w:val="24"/>
              </w:rPr>
              <w:t xml:space="preserve">. There is an </w:t>
            </w:r>
            <w:r w:rsidRPr="00B64E68">
              <w:rPr>
                <w:rFonts w:ascii="Times New Roman" w:eastAsia="Calibri" w:hAnsi="Times New Roman" w:cs="Times New Roman"/>
                <w:sz w:val="24"/>
                <w:szCs w:val="24"/>
              </w:rPr>
              <w:lastRenderedPageBreak/>
              <w:t>enabling environment for civil society participation in the EITI.</w:t>
            </w:r>
          </w:p>
        </w:tc>
      </w:tr>
      <w:tr w:rsidR="00423D65" w:rsidRPr="00B64E68" w14:paraId="0748B0C6" w14:textId="77777777" w:rsidTr="0057476A">
        <w:tc>
          <w:tcPr>
            <w:tcW w:w="4788" w:type="dxa"/>
          </w:tcPr>
          <w:p w14:paraId="33A333B3" w14:textId="77777777" w:rsidR="00423D65" w:rsidRPr="00B64E68" w:rsidRDefault="00423D65" w:rsidP="0057476A">
            <w:pPr>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 xml:space="preserve">Requirement (1.4) </w:t>
            </w:r>
          </w:p>
          <w:p w14:paraId="1703203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Multi-stakeholder group. </w:t>
            </w:r>
          </w:p>
          <w:p w14:paraId="6DF87F34"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The government must commit to working with civil society and companies and establish a multi-stakeholder group to oversee the implementation of the EITI. In establishing the multi-stakeholder group, the government must: </w:t>
            </w:r>
          </w:p>
          <w:p w14:paraId="7134CCD2" w14:textId="77777777" w:rsidR="00423D65" w:rsidRPr="00B64E68" w:rsidRDefault="00423D65" w:rsidP="0057476A">
            <w:pPr>
              <w:spacing w:after="80"/>
              <w:jc w:val="both"/>
              <w:rPr>
                <w:rFonts w:ascii="Times New Roman" w:eastAsia="Calibri" w:hAnsi="Times New Roman" w:cs="Times New Roman"/>
                <w:sz w:val="24"/>
                <w:szCs w:val="24"/>
              </w:rPr>
            </w:pPr>
          </w:p>
          <w:p w14:paraId="11A299E4" w14:textId="77777777" w:rsidR="00423D65" w:rsidRPr="00B64E68" w:rsidRDefault="00423D65" w:rsidP="0057476A">
            <w:pPr>
              <w:spacing w:after="80"/>
              <w:jc w:val="both"/>
              <w:rPr>
                <w:rFonts w:ascii="Times New Roman" w:eastAsia="Calibri" w:hAnsi="Times New Roman" w:cs="Times New Roman"/>
                <w:sz w:val="24"/>
                <w:szCs w:val="24"/>
              </w:rPr>
            </w:pP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Ensure that the invitation to participate in the group is open and transparent.</w:t>
            </w:r>
          </w:p>
          <w:p w14:paraId="25F66E36" w14:textId="77777777" w:rsidR="00423D65" w:rsidRPr="00B64E68" w:rsidRDefault="00423D65" w:rsidP="0057476A">
            <w:pPr>
              <w:spacing w:after="80"/>
              <w:jc w:val="both"/>
              <w:rPr>
                <w:rFonts w:ascii="Times New Roman" w:eastAsia="Calibri" w:hAnsi="Times New Roman" w:cs="Times New Roman"/>
                <w:sz w:val="24"/>
                <w:szCs w:val="24"/>
              </w:rPr>
            </w:pPr>
          </w:p>
          <w:p w14:paraId="79EED1CC"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ii. Ensure that stakeholders are adequately represented. This does not mean that they need to be equally represented numerically. The multi-stakeholder group must comprise appropriate stakeholders, including but not necessarily limited to: the private sector; civil society, including independent civil society groups and other civil society such as the media and unions; and relevant government entities, which can also include parliamentarians.  Each stakeholder group must have the right to appoint its representatives, bearing in mind the desirability of pluralistic and diverse representation. The nomination process must be independent and free from any suggestion of coercion. Civil society groups involved in the EITI as multi-stakeholder group members must be operationally and, in policy terms, independent of government and/or companies. </w:t>
            </w:r>
          </w:p>
          <w:p w14:paraId="59F38A8D" w14:textId="77777777" w:rsidR="00423D65" w:rsidRPr="00B64E68" w:rsidRDefault="00423D65" w:rsidP="0057476A">
            <w:pPr>
              <w:spacing w:after="80"/>
              <w:jc w:val="both"/>
              <w:rPr>
                <w:rFonts w:ascii="Times New Roman" w:eastAsia="Calibri" w:hAnsi="Times New Roman" w:cs="Times New Roman"/>
                <w:sz w:val="24"/>
                <w:szCs w:val="24"/>
              </w:rPr>
            </w:pPr>
          </w:p>
          <w:p w14:paraId="6F171E68"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iii. Consider establishing the legal basis of the group. </w:t>
            </w:r>
          </w:p>
          <w:p w14:paraId="64F67E28" w14:textId="77777777" w:rsidR="00423D65" w:rsidRPr="00B64E68" w:rsidRDefault="00423D65" w:rsidP="0057476A">
            <w:pPr>
              <w:spacing w:after="80"/>
              <w:jc w:val="both"/>
              <w:rPr>
                <w:rFonts w:ascii="Times New Roman" w:eastAsia="Calibri" w:hAnsi="Times New Roman" w:cs="Times New Roman"/>
                <w:sz w:val="24"/>
                <w:szCs w:val="24"/>
              </w:rPr>
            </w:pPr>
          </w:p>
          <w:p w14:paraId="5F52A07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b) The multi-stakeholder group must agree to clear public Terms of Reference (</w:t>
            </w:r>
            <w:proofErr w:type="spellStart"/>
            <w:r w:rsidRPr="00B64E68">
              <w:rPr>
                <w:rFonts w:ascii="Times New Roman" w:eastAsia="Calibri" w:hAnsi="Times New Roman" w:cs="Times New Roman"/>
                <w:sz w:val="24"/>
                <w:szCs w:val="24"/>
              </w:rPr>
              <w:t>ToRs</w:t>
            </w:r>
            <w:proofErr w:type="spellEnd"/>
            <w:r w:rsidRPr="00B64E68">
              <w:rPr>
                <w:rFonts w:ascii="Times New Roman" w:eastAsia="Calibri" w:hAnsi="Times New Roman" w:cs="Times New Roman"/>
                <w:sz w:val="24"/>
                <w:szCs w:val="24"/>
              </w:rPr>
              <w:t xml:space="preserve">) for its work. The </w:t>
            </w:r>
            <w:proofErr w:type="spellStart"/>
            <w:r w:rsidRPr="00B64E68">
              <w:rPr>
                <w:rFonts w:ascii="Times New Roman" w:eastAsia="Calibri" w:hAnsi="Times New Roman" w:cs="Times New Roman"/>
                <w:sz w:val="24"/>
                <w:szCs w:val="24"/>
              </w:rPr>
              <w:t>ToRs</w:t>
            </w:r>
            <w:proofErr w:type="spellEnd"/>
            <w:r w:rsidRPr="00B64E68">
              <w:rPr>
                <w:rFonts w:ascii="Times New Roman" w:eastAsia="Calibri" w:hAnsi="Times New Roman" w:cs="Times New Roman"/>
                <w:sz w:val="24"/>
                <w:szCs w:val="24"/>
              </w:rPr>
              <w:t xml:space="preserve"> should, at a minimum, include provisions on: </w:t>
            </w:r>
          </w:p>
          <w:p w14:paraId="7FE2F08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role, responsibilities, and rights of the multi-stakeholder group:</w:t>
            </w:r>
          </w:p>
          <w:p w14:paraId="40339D67" w14:textId="77777777" w:rsidR="00423D65" w:rsidRPr="00B64E68" w:rsidRDefault="00423D65" w:rsidP="0057476A">
            <w:pPr>
              <w:spacing w:after="80"/>
              <w:jc w:val="both"/>
              <w:rPr>
                <w:rFonts w:ascii="Times New Roman" w:eastAsia="Calibri" w:hAnsi="Times New Roman" w:cs="Times New Roman"/>
                <w:sz w:val="24"/>
                <w:szCs w:val="24"/>
              </w:rPr>
            </w:pPr>
          </w:p>
          <w:p w14:paraId="172A5136" w14:textId="77777777" w:rsidR="00423D65" w:rsidRPr="00B64E68" w:rsidRDefault="00423D65" w:rsidP="0057476A">
            <w:pPr>
              <w:spacing w:after="80"/>
              <w:jc w:val="both"/>
              <w:rPr>
                <w:rFonts w:ascii="Times New Roman" w:eastAsia="Calibri" w:hAnsi="Times New Roman" w:cs="Times New Roman"/>
                <w:sz w:val="24"/>
                <w:szCs w:val="24"/>
              </w:rPr>
            </w:pP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Members of the multi-stakeholder group should have the capacity to carry out their duties.</w:t>
            </w:r>
          </w:p>
          <w:p w14:paraId="4D7A4175" w14:textId="77777777" w:rsidR="00423D65" w:rsidRPr="00B64E68" w:rsidRDefault="00423D65" w:rsidP="0057476A">
            <w:pPr>
              <w:spacing w:after="80"/>
              <w:jc w:val="both"/>
              <w:rPr>
                <w:rFonts w:ascii="Times New Roman" w:eastAsia="Calibri" w:hAnsi="Times New Roman" w:cs="Times New Roman"/>
                <w:sz w:val="24"/>
                <w:szCs w:val="24"/>
              </w:rPr>
            </w:pPr>
          </w:p>
          <w:p w14:paraId="662E123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ii. The multi-stakeholder group should undertake effective outreach activities with </w:t>
            </w:r>
            <w:r w:rsidRPr="00B64E68">
              <w:rPr>
                <w:rFonts w:ascii="Times New Roman" w:eastAsia="Calibri" w:hAnsi="Times New Roman" w:cs="Times New Roman"/>
                <w:sz w:val="24"/>
                <w:szCs w:val="24"/>
              </w:rPr>
              <w:lastRenderedPageBreak/>
              <w:t xml:space="preserve">civil society groups and companies, including through media, websites, and letters, informing stakeholders of the government’s commitment to implementing the EITI and the central role of companies and civil society. The multi-stakeholder group should also widely disseminate public information from the EITI process, such as the EITI Report. </w:t>
            </w:r>
          </w:p>
          <w:p w14:paraId="107E040E" w14:textId="77777777" w:rsidR="00423D65" w:rsidRPr="00B64E68" w:rsidRDefault="00423D65" w:rsidP="0057476A">
            <w:pPr>
              <w:spacing w:after="80"/>
              <w:jc w:val="both"/>
              <w:rPr>
                <w:rFonts w:ascii="Times New Roman" w:eastAsia="Calibri" w:hAnsi="Times New Roman" w:cs="Times New Roman"/>
                <w:sz w:val="24"/>
                <w:szCs w:val="24"/>
              </w:rPr>
            </w:pPr>
          </w:p>
          <w:p w14:paraId="4D6E3D6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iii. Members of the multi-stakeholder group should liaise with their constituency groups. Approval of work plans, EITI Reports, and annual activity reports: </w:t>
            </w:r>
          </w:p>
          <w:p w14:paraId="1936EB6B" w14:textId="77777777" w:rsidR="00423D65" w:rsidRPr="00B64E68" w:rsidRDefault="00423D65" w:rsidP="0057476A">
            <w:pPr>
              <w:spacing w:after="80"/>
              <w:jc w:val="both"/>
              <w:rPr>
                <w:rFonts w:ascii="Times New Roman" w:eastAsia="Calibri" w:hAnsi="Times New Roman" w:cs="Times New Roman"/>
                <w:sz w:val="24"/>
                <w:szCs w:val="24"/>
              </w:rPr>
            </w:pPr>
          </w:p>
          <w:p w14:paraId="6AF22E8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iv. The multi-stakeholder group is required to approve annual work plans, the appointment of the Independent Administrator, the Terms of Reference for the Independent Administrator, EITI Reports, and the yearly activity report. </w:t>
            </w:r>
          </w:p>
          <w:p w14:paraId="67EFD5E5" w14:textId="77777777" w:rsidR="00423D65" w:rsidRPr="00B64E68" w:rsidRDefault="00423D65" w:rsidP="0057476A">
            <w:pPr>
              <w:spacing w:after="80"/>
              <w:jc w:val="both"/>
              <w:rPr>
                <w:rFonts w:ascii="Times New Roman" w:eastAsia="Calibri" w:hAnsi="Times New Roman" w:cs="Times New Roman"/>
                <w:sz w:val="24"/>
                <w:szCs w:val="24"/>
              </w:rPr>
            </w:pPr>
          </w:p>
          <w:p w14:paraId="76ED9EE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v. The multi-stakeholder group should oversee the EITI reporting process and engage in Validation. Internal governance rules and procedures: </w:t>
            </w:r>
          </w:p>
          <w:p w14:paraId="14F63FFE" w14:textId="77777777" w:rsidR="00423D65" w:rsidRPr="00B64E68" w:rsidRDefault="00423D65" w:rsidP="0057476A">
            <w:pPr>
              <w:spacing w:after="80"/>
              <w:jc w:val="both"/>
              <w:rPr>
                <w:rFonts w:ascii="Times New Roman" w:eastAsia="Calibri" w:hAnsi="Times New Roman" w:cs="Times New Roman"/>
                <w:sz w:val="24"/>
                <w:szCs w:val="24"/>
              </w:rPr>
            </w:pPr>
          </w:p>
          <w:p w14:paraId="4601A3C1"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vi. The EITI requires an inclusive decision-making process throughout implementation, with each constituency being treated as a partner.  Any member of the multi-stakeholder group has the right to table an issue for discussion. The multi-stakeholder group should agree and publish its procedures for nominating and changing multi-stakeholder group representatives, decision-making, the duration of the mandate, and the frequency of meetings. This should include ensuring that there is a process for changing group members that respects the principles set out in </w:t>
            </w:r>
          </w:p>
          <w:p w14:paraId="47F3EA98" w14:textId="77777777" w:rsidR="00423D65" w:rsidRPr="00B64E68" w:rsidRDefault="00423D65" w:rsidP="0057476A">
            <w:pPr>
              <w:spacing w:after="80"/>
              <w:jc w:val="both"/>
              <w:rPr>
                <w:rFonts w:ascii="Times New Roman" w:eastAsia="Calibri" w:hAnsi="Times New Roman" w:cs="Times New Roman"/>
                <w:sz w:val="24"/>
                <w:szCs w:val="24"/>
              </w:rPr>
            </w:pPr>
          </w:p>
          <w:p w14:paraId="737BADFF"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 xml:space="preserve">Requirement (1.4.a.) </w:t>
            </w:r>
          </w:p>
          <w:p w14:paraId="6ACEF53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MSG has per diems for attending EITI meetings or other payments to MSG members; this practice should be transparent and not create conflicts of interest. </w:t>
            </w:r>
          </w:p>
          <w:p w14:paraId="20A30AB1" w14:textId="77777777" w:rsidR="00423D65" w:rsidRPr="00B64E68" w:rsidRDefault="00423D65" w:rsidP="0057476A">
            <w:pPr>
              <w:spacing w:after="80"/>
              <w:jc w:val="both"/>
              <w:rPr>
                <w:rFonts w:ascii="Times New Roman" w:eastAsia="Calibri" w:hAnsi="Times New Roman" w:cs="Times New Roman"/>
                <w:sz w:val="24"/>
                <w:szCs w:val="24"/>
              </w:rPr>
            </w:pPr>
          </w:p>
          <w:p w14:paraId="29DDE093"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vii. There should be sufficient advance notice of meetings and timely circulation of documents before their debate and proposed adoption. </w:t>
            </w:r>
          </w:p>
          <w:p w14:paraId="3FFD2AB0" w14:textId="77777777" w:rsidR="00423D65" w:rsidRPr="00B64E68" w:rsidRDefault="00423D65" w:rsidP="0057476A">
            <w:pPr>
              <w:spacing w:after="80"/>
              <w:jc w:val="both"/>
              <w:rPr>
                <w:rFonts w:ascii="Times New Roman" w:eastAsia="Calibri" w:hAnsi="Times New Roman" w:cs="Times New Roman"/>
                <w:sz w:val="24"/>
                <w:szCs w:val="24"/>
              </w:rPr>
            </w:pPr>
          </w:p>
          <w:p w14:paraId="6E5B801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viii. The multi-stakeholder group must keep written records of its discussions and decisions</w:t>
            </w:r>
          </w:p>
        </w:tc>
        <w:tc>
          <w:tcPr>
            <w:tcW w:w="4788" w:type="dxa"/>
          </w:tcPr>
          <w:p w14:paraId="474F0B77" w14:textId="5EE72BF8"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The MSG has been formed and includes appointed representatives from each stakeholder group. While the President appoints all MSG members, </w:t>
            </w:r>
            <w:r w:rsidR="008276D4">
              <w:rPr>
                <w:rFonts w:ascii="Times New Roman" w:eastAsia="Calibri" w:hAnsi="Times New Roman" w:cs="Times New Roman"/>
                <w:sz w:val="24"/>
                <w:szCs w:val="24"/>
              </w:rPr>
              <w:t>the private sector and civil society organizations</w:t>
            </w:r>
            <w:r w:rsidRPr="00B64E68">
              <w:rPr>
                <w:rFonts w:ascii="Times New Roman" w:eastAsia="Calibri" w:hAnsi="Times New Roman" w:cs="Times New Roman"/>
                <w:sz w:val="24"/>
                <w:szCs w:val="24"/>
              </w:rPr>
              <w:t xml:space="preserve"> constituenc</w:t>
            </w:r>
            <w:r w:rsidR="008276D4">
              <w:rPr>
                <w:rFonts w:ascii="Times New Roman" w:eastAsia="Calibri" w:hAnsi="Times New Roman" w:cs="Times New Roman"/>
                <w:sz w:val="24"/>
                <w:szCs w:val="24"/>
              </w:rPr>
              <w:t>ies</w:t>
            </w:r>
            <w:r w:rsidRPr="00B64E68">
              <w:rPr>
                <w:rFonts w:ascii="Times New Roman" w:eastAsia="Calibri" w:hAnsi="Times New Roman" w:cs="Times New Roman"/>
                <w:sz w:val="24"/>
                <w:szCs w:val="24"/>
              </w:rPr>
              <w:t xml:space="preserve"> </w:t>
            </w:r>
            <w:r w:rsidR="008276D4">
              <w:rPr>
                <w:rFonts w:ascii="Times New Roman" w:eastAsia="Calibri" w:hAnsi="Times New Roman" w:cs="Times New Roman"/>
                <w:sz w:val="24"/>
                <w:szCs w:val="24"/>
              </w:rPr>
              <w:t xml:space="preserve">independently </w:t>
            </w:r>
            <w:r w:rsidRPr="00B64E68">
              <w:rPr>
                <w:rFonts w:ascii="Times New Roman" w:eastAsia="Calibri" w:hAnsi="Times New Roman" w:cs="Times New Roman"/>
                <w:sz w:val="24"/>
                <w:szCs w:val="24"/>
              </w:rPr>
              <w:t>ma</w:t>
            </w:r>
            <w:r w:rsidR="008276D4">
              <w:rPr>
                <w:rFonts w:ascii="Times New Roman" w:eastAsia="Calibri" w:hAnsi="Times New Roman" w:cs="Times New Roman"/>
                <w:sz w:val="24"/>
                <w:szCs w:val="24"/>
              </w:rPr>
              <w:t>de</w:t>
            </w:r>
            <w:r w:rsidRPr="00B64E68">
              <w:rPr>
                <w:rFonts w:ascii="Times New Roman" w:eastAsia="Calibri" w:hAnsi="Times New Roman" w:cs="Times New Roman"/>
                <w:sz w:val="24"/>
                <w:szCs w:val="24"/>
              </w:rPr>
              <w:t xml:space="preserve"> the selection</w:t>
            </w:r>
            <w:r w:rsidR="008276D4">
              <w:rPr>
                <w:rFonts w:ascii="Times New Roman" w:eastAsia="Calibri" w:hAnsi="Times New Roman" w:cs="Times New Roman"/>
                <w:sz w:val="24"/>
                <w:szCs w:val="24"/>
              </w:rPr>
              <w:t>/elections</w:t>
            </w:r>
            <w:r w:rsidRPr="00B64E68">
              <w:rPr>
                <w:rFonts w:ascii="Times New Roman" w:eastAsia="Calibri" w:hAnsi="Times New Roman" w:cs="Times New Roman"/>
                <w:sz w:val="24"/>
                <w:szCs w:val="24"/>
              </w:rPr>
              <w:t>. There was public outreach ahead of the selection of CSO</w:t>
            </w:r>
            <w:r w:rsidR="008276D4">
              <w:rPr>
                <w:rFonts w:ascii="Times New Roman" w:eastAsia="Calibri" w:hAnsi="Times New Roman" w:cs="Times New Roman"/>
                <w:sz w:val="24"/>
                <w:szCs w:val="24"/>
              </w:rPr>
              <w:t xml:space="preserve"> and Private Sector</w:t>
            </w:r>
            <w:r w:rsidRPr="00B64E68">
              <w:rPr>
                <w:rFonts w:ascii="Times New Roman" w:eastAsia="Calibri" w:hAnsi="Times New Roman" w:cs="Times New Roman"/>
                <w:sz w:val="24"/>
                <w:szCs w:val="24"/>
              </w:rPr>
              <w:t xml:space="preserve"> members of the MSG, and the </w:t>
            </w:r>
            <w:proofErr w:type="spellStart"/>
            <w:r w:rsidRPr="00B64E68">
              <w:rPr>
                <w:rFonts w:ascii="Times New Roman" w:eastAsia="Calibri" w:hAnsi="Times New Roman" w:cs="Times New Roman"/>
                <w:sz w:val="24"/>
                <w:szCs w:val="24"/>
              </w:rPr>
              <w:t>ToR</w:t>
            </w:r>
            <w:proofErr w:type="spellEnd"/>
            <w:r w:rsidRPr="00B64E68">
              <w:rPr>
                <w:rFonts w:ascii="Times New Roman" w:eastAsia="Calibri" w:hAnsi="Times New Roman" w:cs="Times New Roman"/>
                <w:sz w:val="24"/>
                <w:szCs w:val="24"/>
              </w:rPr>
              <w:t xml:space="preserve"> for the MSG addresses the requirements of the EITI Standard. Attendance of MSG members is at varying levels, with a delegation of attendance to different representatives being common, </w:t>
            </w:r>
            <w:r w:rsidRPr="00B64E68">
              <w:rPr>
                <w:rFonts w:ascii="Times New Roman" w:eastAsia="Calibri" w:hAnsi="Times New Roman" w:cs="Times New Roman"/>
                <w:sz w:val="24"/>
                <w:szCs w:val="24"/>
              </w:rPr>
              <w:lastRenderedPageBreak/>
              <w:t xml:space="preserve">particularly for government and industry. There is evidence that critical documents were shared with MSG representatives for comments, most of which were shared with the broader constituencies.  </w:t>
            </w:r>
          </w:p>
          <w:p w14:paraId="3E77A4C7" w14:textId="77777777" w:rsidR="00423D65" w:rsidRPr="00B64E68" w:rsidRDefault="00423D65" w:rsidP="0057476A">
            <w:pPr>
              <w:spacing w:after="80"/>
              <w:jc w:val="both"/>
              <w:rPr>
                <w:rFonts w:ascii="Times New Roman" w:eastAsia="Calibri" w:hAnsi="Times New Roman" w:cs="Times New Roman"/>
                <w:sz w:val="24"/>
                <w:szCs w:val="24"/>
              </w:rPr>
            </w:pPr>
          </w:p>
          <w:p w14:paraId="0EF94A40" w14:textId="008C7D9B" w:rsidR="00423D65" w:rsidRPr="00B64E68" w:rsidRDefault="008276D4"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From December 12-15, 2025</w:t>
            </w:r>
            <w:r w:rsidR="00423D65" w:rsidRPr="00B64E68">
              <w:rPr>
                <w:rFonts w:ascii="Times New Roman" w:eastAsia="Calibri" w:hAnsi="Times New Roman" w:cs="Times New Roman"/>
                <w:sz w:val="24"/>
                <w:szCs w:val="24"/>
              </w:rPr>
              <w:t xml:space="preserve">, the MSG held a retreat in Buchanan City, Grand Bassa County, </w:t>
            </w:r>
            <w:r>
              <w:rPr>
                <w:rFonts w:ascii="Times New Roman" w:eastAsia="Calibri" w:hAnsi="Times New Roman" w:cs="Times New Roman"/>
                <w:sz w:val="24"/>
                <w:szCs w:val="24"/>
              </w:rPr>
              <w:t xml:space="preserve">approving the validation templates, LEITI </w:t>
            </w:r>
            <w:r w:rsidR="00FD5278">
              <w:rPr>
                <w:rFonts w:ascii="Times New Roman" w:eastAsia="Calibri" w:hAnsi="Times New Roman" w:cs="Times New Roman"/>
                <w:sz w:val="24"/>
                <w:szCs w:val="24"/>
              </w:rPr>
              <w:t>five-year</w:t>
            </w:r>
            <w:r>
              <w:rPr>
                <w:rFonts w:ascii="Times New Roman" w:eastAsia="Calibri" w:hAnsi="Times New Roman" w:cs="Times New Roman"/>
                <w:sz w:val="24"/>
                <w:szCs w:val="24"/>
              </w:rPr>
              <w:t xml:space="preserve"> strategy plan, LEITI annual progress report, along with setting the priorities for the fiscal year 2026</w:t>
            </w:r>
            <w:r w:rsidR="00423D65" w:rsidRPr="00B64E68">
              <w:rPr>
                <w:rFonts w:ascii="Times New Roman" w:eastAsia="Calibri" w:hAnsi="Times New Roman" w:cs="Times New Roman"/>
                <w:sz w:val="24"/>
                <w:szCs w:val="24"/>
              </w:rPr>
              <w:t>.</w:t>
            </w:r>
          </w:p>
          <w:p w14:paraId="0CA23891" w14:textId="77777777" w:rsidR="00423D65" w:rsidRPr="00B64E68" w:rsidRDefault="00423D65" w:rsidP="0057476A">
            <w:pPr>
              <w:spacing w:after="80"/>
              <w:jc w:val="both"/>
              <w:rPr>
                <w:rFonts w:ascii="Times New Roman" w:eastAsia="Calibri" w:hAnsi="Times New Roman" w:cs="Times New Roman"/>
                <w:sz w:val="24"/>
                <w:szCs w:val="24"/>
              </w:rPr>
            </w:pPr>
          </w:p>
          <w:p w14:paraId="4660D8CF" w14:textId="77777777" w:rsidR="00423D65"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During the recent appointment of the MSG, the Executive Mansion held constructive and coordinated consultations with the private sector and civil society constituencies on the selection/election of their respective representations with no coercion. The LEITI Secretariat has documentation leading to these exercises.</w:t>
            </w:r>
          </w:p>
          <w:p w14:paraId="2BA85C96" w14:textId="6A44635F" w:rsidR="00FD5278" w:rsidRPr="00B64E68" w:rsidRDefault="00FD5278"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With instruction from the MSG, the LEITI Secretariat has documented all meeting minutes of the Body for the period under review. </w:t>
            </w:r>
          </w:p>
          <w:p w14:paraId="0C6A57A4" w14:textId="77777777" w:rsidR="00423D65" w:rsidRPr="00B64E68" w:rsidRDefault="00423D65" w:rsidP="0057476A">
            <w:pPr>
              <w:spacing w:after="80"/>
              <w:jc w:val="both"/>
              <w:rPr>
                <w:rFonts w:ascii="Times New Roman" w:eastAsia="Calibri" w:hAnsi="Times New Roman" w:cs="Times New Roman"/>
                <w:sz w:val="24"/>
                <w:szCs w:val="24"/>
              </w:rPr>
            </w:pPr>
          </w:p>
          <w:p w14:paraId="66B0EB45" w14:textId="77777777" w:rsidR="00423D65" w:rsidRPr="00B64E68" w:rsidRDefault="00423D65" w:rsidP="0057476A">
            <w:pPr>
              <w:spacing w:after="80"/>
              <w:jc w:val="both"/>
              <w:rPr>
                <w:rFonts w:ascii="Times New Roman" w:eastAsia="Calibri" w:hAnsi="Times New Roman" w:cs="Times New Roman"/>
                <w:sz w:val="24"/>
                <w:szCs w:val="24"/>
              </w:rPr>
            </w:pPr>
          </w:p>
          <w:p w14:paraId="2C3E94DA" w14:textId="77777777" w:rsidR="00423D65" w:rsidRPr="00B64E68" w:rsidRDefault="00423D65" w:rsidP="0057476A">
            <w:pPr>
              <w:spacing w:after="80"/>
              <w:jc w:val="both"/>
              <w:rPr>
                <w:rFonts w:ascii="Times New Roman" w:eastAsia="Calibri" w:hAnsi="Times New Roman" w:cs="Times New Roman"/>
                <w:sz w:val="24"/>
                <w:szCs w:val="24"/>
              </w:rPr>
            </w:pPr>
          </w:p>
          <w:p w14:paraId="77E1406A" w14:textId="77777777" w:rsidR="00423D65" w:rsidRPr="00B64E68" w:rsidRDefault="00423D65" w:rsidP="0057476A">
            <w:pPr>
              <w:spacing w:after="80"/>
              <w:jc w:val="both"/>
              <w:rPr>
                <w:rFonts w:ascii="Times New Roman" w:eastAsia="Calibri" w:hAnsi="Times New Roman" w:cs="Times New Roman"/>
                <w:sz w:val="24"/>
                <w:szCs w:val="24"/>
              </w:rPr>
            </w:pPr>
          </w:p>
          <w:p w14:paraId="17711ED1" w14:textId="77777777" w:rsidR="00423D65" w:rsidRPr="00B64E68" w:rsidRDefault="00423D65" w:rsidP="0057476A">
            <w:pPr>
              <w:spacing w:after="80"/>
              <w:jc w:val="both"/>
              <w:rPr>
                <w:rFonts w:ascii="Times New Roman" w:eastAsia="Calibri" w:hAnsi="Times New Roman" w:cs="Times New Roman"/>
                <w:sz w:val="24"/>
                <w:szCs w:val="24"/>
              </w:rPr>
            </w:pPr>
          </w:p>
          <w:p w14:paraId="69B7F896" w14:textId="77777777" w:rsidR="00423D65" w:rsidRPr="00B64E68" w:rsidRDefault="00423D65" w:rsidP="0057476A">
            <w:pPr>
              <w:spacing w:after="80"/>
              <w:jc w:val="both"/>
              <w:rPr>
                <w:rFonts w:ascii="Times New Roman" w:eastAsia="Calibri" w:hAnsi="Times New Roman" w:cs="Times New Roman"/>
                <w:sz w:val="24"/>
                <w:szCs w:val="24"/>
              </w:rPr>
            </w:pPr>
          </w:p>
          <w:p w14:paraId="51C88954" w14:textId="77777777" w:rsidR="00423D65" w:rsidRPr="00B64E68" w:rsidRDefault="00423D65" w:rsidP="0057476A">
            <w:pPr>
              <w:spacing w:after="80"/>
              <w:jc w:val="both"/>
              <w:rPr>
                <w:rFonts w:ascii="Times New Roman" w:eastAsia="Calibri" w:hAnsi="Times New Roman" w:cs="Times New Roman"/>
                <w:sz w:val="24"/>
                <w:szCs w:val="24"/>
              </w:rPr>
            </w:pPr>
          </w:p>
          <w:p w14:paraId="15493881" w14:textId="77777777" w:rsidR="00423D65" w:rsidRPr="00B64E68" w:rsidRDefault="00423D65" w:rsidP="0057476A">
            <w:pPr>
              <w:spacing w:after="80"/>
              <w:jc w:val="both"/>
              <w:rPr>
                <w:rFonts w:ascii="Times New Roman" w:eastAsia="Calibri" w:hAnsi="Times New Roman" w:cs="Times New Roman"/>
                <w:sz w:val="24"/>
                <w:szCs w:val="24"/>
              </w:rPr>
            </w:pPr>
          </w:p>
          <w:p w14:paraId="3509704D" w14:textId="77777777" w:rsidR="00423D65" w:rsidRPr="00B64E68" w:rsidRDefault="00423D65" w:rsidP="0057476A">
            <w:pPr>
              <w:spacing w:after="80"/>
              <w:jc w:val="both"/>
              <w:rPr>
                <w:rFonts w:ascii="Times New Roman" w:eastAsia="Calibri" w:hAnsi="Times New Roman" w:cs="Times New Roman"/>
                <w:sz w:val="24"/>
                <w:szCs w:val="24"/>
              </w:rPr>
            </w:pPr>
          </w:p>
          <w:p w14:paraId="4625FFBB" w14:textId="77777777" w:rsidR="00423D65" w:rsidRPr="00B64E68" w:rsidRDefault="00423D65" w:rsidP="0057476A">
            <w:pPr>
              <w:spacing w:after="80"/>
              <w:jc w:val="both"/>
              <w:rPr>
                <w:rFonts w:ascii="Times New Roman" w:eastAsia="Calibri" w:hAnsi="Times New Roman" w:cs="Times New Roman"/>
                <w:sz w:val="24"/>
                <w:szCs w:val="24"/>
              </w:rPr>
            </w:pPr>
          </w:p>
          <w:p w14:paraId="3AD086E5" w14:textId="77777777" w:rsidR="00423D65" w:rsidRPr="00B64E68" w:rsidRDefault="00423D65" w:rsidP="0057476A">
            <w:pPr>
              <w:spacing w:after="80"/>
              <w:jc w:val="both"/>
              <w:rPr>
                <w:rFonts w:ascii="Times New Roman" w:eastAsia="Calibri" w:hAnsi="Times New Roman" w:cs="Times New Roman"/>
                <w:sz w:val="24"/>
                <w:szCs w:val="24"/>
              </w:rPr>
            </w:pPr>
          </w:p>
          <w:p w14:paraId="6CD3D07C" w14:textId="77777777" w:rsidR="00423D65" w:rsidRPr="00B64E68" w:rsidRDefault="00423D65" w:rsidP="0057476A">
            <w:pPr>
              <w:spacing w:after="80"/>
              <w:jc w:val="both"/>
              <w:rPr>
                <w:rFonts w:ascii="Times New Roman" w:eastAsia="Calibri" w:hAnsi="Times New Roman" w:cs="Times New Roman"/>
                <w:sz w:val="24"/>
                <w:szCs w:val="24"/>
              </w:rPr>
            </w:pPr>
          </w:p>
          <w:p w14:paraId="14F22853" w14:textId="77777777" w:rsidR="00423D65" w:rsidRPr="00B64E68" w:rsidRDefault="00423D65" w:rsidP="0057476A">
            <w:pPr>
              <w:spacing w:after="80"/>
              <w:jc w:val="both"/>
              <w:rPr>
                <w:rFonts w:ascii="Times New Roman" w:eastAsia="Calibri" w:hAnsi="Times New Roman" w:cs="Times New Roman"/>
                <w:sz w:val="24"/>
                <w:szCs w:val="24"/>
              </w:rPr>
            </w:pPr>
          </w:p>
          <w:p w14:paraId="2901B49F" w14:textId="77777777" w:rsidR="00423D65" w:rsidRPr="00B64E68" w:rsidRDefault="00423D65" w:rsidP="0057476A">
            <w:pPr>
              <w:spacing w:after="80"/>
              <w:jc w:val="both"/>
              <w:rPr>
                <w:rFonts w:ascii="Times New Roman" w:eastAsia="Calibri" w:hAnsi="Times New Roman" w:cs="Times New Roman"/>
                <w:sz w:val="24"/>
                <w:szCs w:val="24"/>
              </w:rPr>
            </w:pPr>
          </w:p>
          <w:p w14:paraId="417B01A4" w14:textId="77777777" w:rsidR="00423D65" w:rsidRPr="00B64E68" w:rsidRDefault="00423D65" w:rsidP="0057476A">
            <w:pPr>
              <w:spacing w:after="80"/>
              <w:jc w:val="both"/>
              <w:rPr>
                <w:rFonts w:ascii="Times New Roman" w:eastAsia="Calibri" w:hAnsi="Times New Roman" w:cs="Times New Roman"/>
                <w:sz w:val="24"/>
                <w:szCs w:val="24"/>
              </w:rPr>
            </w:pPr>
          </w:p>
          <w:p w14:paraId="26FACE2A" w14:textId="77777777" w:rsidR="00423D65" w:rsidRPr="00B64E68" w:rsidRDefault="00423D65" w:rsidP="0057476A">
            <w:pPr>
              <w:spacing w:after="80"/>
              <w:jc w:val="both"/>
              <w:rPr>
                <w:rFonts w:ascii="Times New Roman" w:eastAsia="Calibri" w:hAnsi="Times New Roman" w:cs="Times New Roman"/>
                <w:sz w:val="24"/>
                <w:szCs w:val="24"/>
              </w:rPr>
            </w:pPr>
          </w:p>
          <w:p w14:paraId="7EC3F613" w14:textId="77777777" w:rsidR="00423D65" w:rsidRPr="00B64E68" w:rsidRDefault="00423D65" w:rsidP="0057476A">
            <w:pPr>
              <w:spacing w:after="80"/>
              <w:jc w:val="both"/>
              <w:rPr>
                <w:rFonts w:ascii="Times New Roman" w:eastAsia="Calibri" w:hAnsi="Times New Roman" w:cs="Times New Roman"/>
                <w:sz w:val="24"/>
                <w:szCs w:val="24"/>
              </w:rPr>
            </w:pPr>
          </w:p>
          <w:p w14:paraId="3EC4286B" w14:textId="77777777" w:rsidR="00423D65" w:rsidRPr="00B64E68" w:rsidRDefault="00423D65" w:rsidP="0057476A">
            <w:pPr>
              <w:spacing w:after="80"/>
              <w:jc w:val="both"/>
              <w:rPr>
                <w:rFonts w:ascii="Times New Roman" w:eastAsia="Calibri" w:hAnsi="Times New Roman" w:cs="Times New Roman"/>
                <w:sz w:val="24"/>
                <w:szCs w:val="24"/>
              </w:rPr>
            </w:pPr>
          </w:p>
          <w:p w14:paraId="064F71E8" w14:textId="77777777" w:rsidR="00423D65" w:rsidRPr="00B64E68" w:rsidRDefault="00423D65" w:rsidP="0057476A">
            <w:pPr>
              <w:spacing w:after="80"/>
              <w:jc w:val="both"/>
              <w:rPr>
                <w:rFonts w:ascii="Times New Roman" w:eastAsia="Calibri" w:hAnsi="Times New Roman" w:cs="Times New Roman"/>
                <w:sz w:val="24"/>
                <w:szCs w:val="24"/>
              </w:rPr>
            </w:pPr>
          </w:p>
          <w:p w14:paraId="30D18D60" w14:textId="77777777" w:rsidR="00423D65" w:rsidRPr="00B64E68" w:rsidRDefault="00423D65" w:rsidP="0057476A">
            <w:pPr>
              <w:spacing w:after="80"/>
              <w:jc w:val="both"/>
              <w:rPr>
                <w:rFonts w:ascii="Times New Roman" w:eastAsia="Calibri" w:hAnsi="Times New Roman" w:cs="Times New Roman"/>
                <w:sz w:val="24"/>
                <w:szCs w:val="24"/>
              </w:rPr>
            </w:pPr>
          </w:p>
          <w:p w14:paraId="72296946" w14:textId="77777777" w:rsidR="00423D65" w:rsidRPr="00B64E68" w:rsidRDefault="00423D65" w:rsidP="0057476A">
            <w:pPr>
              <w:spacing w:after="80"/>
              <w:jc w:val="both"/>
              <w:rPr>
                <w:rFonts w:ascii="Times New Roman" w:eastAsia="Calibri" w:hAnsi="Times New Roman" w:cs="Times New Roman"/>
                <w:sz w:val="24"/>
                <w:szCs w:val="24"/>
              </w:rPr>
            </w:pPr>
          </w:p>
          <w:p w14:paraId="39B8949F" w14:textId="77777777" w:rsidR="00423D65" w:rsidRPr="00B64E68" w:rsidRDefault="00423D65" w:rsidP="0057476A">
            <w:pPr>
              <w:spacing w:after="80"/>
              <w:jc w:val="both"/>
              <w:rPr>
                <w:rFonts w:ascii="Times New Roman" w:eastAsia="Calibri" w:hAnsi="Times New Roman" w:cs="Times New Roman"/>
                <w:sz w:val="24"/>
                <w:szCs w:val="24"/>
              </w:rPr>
            </w:pPr>
          </w:p>
          <w:p w14:paraId="792A6AB4" w14:textId="77777777" w:rsidR="00423D65" w:rsidRPr="00B64E68" w:rsidRDefault="00423D65" w:rsidP="0057476A">
            <w:pPr>
              <w:spacing w:after="80"/>
              <w:jc w:val="both"/>
              <w:rPr>
                <w:rFonts w:ascii="Times New Roman" w:eastAsia="Calibri" w:hAnsi="Times New Roman" w:cs="Times New Roman"/>
                <w:sz w:val="24"/>
                <w:szCs w:val="24"/>
              </w:rPr>
            </w:pPr>
          </w:p>
          <w:p w14:paraId="6B4C7E83" w14:textId="77777777" w:rsidR="00423D65" w:rsidRPr="00B64E68" w:rsidRDefault="00423D65" w:rsidP="0057476A">
            <w:pPr>
              <w:spacing w:after="80"/>
              <w:jc w:val="both"/>
              <w:rPr>
                <w:rFonts w:ascii="Times New Roman" w:eastAsia="Calibri" w:hAnsi="Times New Roman" w:cs="Times New Roman"/>
                <w:sz w:val="24"/>
                <w:szCs w:val="24"/>
              </w:rPr>
            </w:pPr>
          </w:p>
          <w:p w14:paraId="709E62FE" w14:textId="77777777" w:rsidR="00423D65" w:rsidRPr="00B64E68" w:rsidRDefault="00423D65" w:rsidP="0057476A">
            <w:pPr>
              <w:spacing w:after="80"/>
              <w:jc w:val="both"/>
              <w:rPr>
                <w:rFonts w:ascii="Times New Roman" w:eastAsia="Calibri" w:hAnsi="Times New Roman" w:cs="Times New Roman"/>
                <w:sz w:val="24"/>
                <w:szCs w:val="24"/>
              </w:rPr>
            </w:pPr>
          </w:p>
        </w:tc>
      </w:tr>
      <w:tr w:rsidR="00423D65" w:rsidRPr="00B64E68" w14:paraId="7662A752" w14:textId="77777777" w:rsidTr="0057476A">
        <w:tc>
          <w:tcPr>
            <w:tcW w:w="4788" w:type="dxa"/>
          </w:tcPr>
          <w:p w14:paraId="0AB25135" w14:textId="77777777" w:rsidR="00423D65" w:rsidRPr="00B64E68" w:rsidRDefault="00423D65" w:rsidP="0057476A">
            <w:pPr>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lastRenderedPageBreak/>
              <w:t xml:space="preserve">Requirement 1.5 </w:t>
            </w:r>
          </w:p>
          <w:p w14:paraId="75E2175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Work plan. The multi-stakeholder group is required to maintain a current work plan, fully cost and aligned with the reporting and Validation deadlines established by the EITI Board. The work plan must:</w:t>
            </w:r>
          </w:p>
          <w:p w14:paraId="7DA69AE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Set EITI implementation objectives linked to the EITI Principles and reflect national priorities for the extractive industries. Multi-stakeholder groups are encouraged to explore innovative approaches to extending EITI implementation to increase the comprehensiveness of EITI reporting and public understanding of revenues and promote high standards of transparency and accountability in public life, government operations, and business. </w:t>
            </w:r>
          </w:p>
          <w:p w14:paraId="7B918D92" w14:textId="77777777" w:rsidR="00423D65" w:rsidRPr="00B64E68" w:rsidRDefault="00423D65" w:rsidP="0057476A">
            <w:pPr>
              <w:spacing w:after="80"/>
              <w:jc w:val="both"/>
              <w:rPr>
                <w:rFonts w:ascii="Times New Roman" w:eastAsia="Calibri" w:hAnsi="Times New Roman" w:cs="Times New Roman"/>
                <w:sz w:val="24"/>
                <w:szCs w:val="24"/>
              </w:rPr>
            </w:pPr>
          </w:p>
          <w:p w14:paraId="19F10B6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b) Reflect the results of consultations with key stakeholders and be endorsed by the multi-stakeholder group.</w:t>
            </w:r>
          </w:p>
          <w:p w14:paraId="4F4F67E0" w14:textId="77777777" w:rsidR="00423D65" w:rsidRPr="00B64E68" w:rsidRDefault="00423D65" w:rsidP="0057476A">
            <w:pPr>
              <w:spacing w:after="80"/>
              <w:jc w:val="both"/>
              <w:rPr>
                <w:rFonts w:ascii="Times New Roman" w:eastAsia="Calibri" w:hAnsi="Times New Roman" w:cs="Times New Roman"/>
                <w:sz w:val="24"/>
                <w:szCs w:val="24"/>
              </w:rPr>
            </w:pPr>
          </w:p>
          <w:p w14:paraId="3450E713"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c) Include measurable and time-bound activities to achieve the agreed objectives. The scope of EITI implementation should be tailored to contribute to the objectives identified during the consultation process. The work plan must:</w:t>
            </w:r>
          </w:p>
          <w:p w14:paraId="1EBD908E" w14:textId="77777777" w:rsidR="00423D65" w:rsidRPr="00B64E68" w:rsidRDefault="00423D65" w:rsidP="0057476A">
            <w:pPr>
              <w:spacing w:after="80"/>
              <w:jc w:val="both"/>
              <w:rPr>
                <w:rFonts w:ascii="Times New Roman" w:eastAsia="Calibri" w:hAnsi="Times New Roman" w:cs="Times New Roman"/>
                <w:sz w:val="24"/>
                <w:szCs w:val="24"/>
              </w:rPr>
            </w:pPr>
          </w:p>
          <w:p w14:paraId="695F6A74" w14:textId="77777777" w:rsidR="00423D65" w:rsidRPr="00B64E68" w:rsidRDefault="00423D65" w:rsidP="0057476A">
            <w:pPr>
              <w:spacing w:after="80"/>
              <w:jc w:val="both"/>
              <w:rPr>
                <w:rFonts w:ascii="Times New Roman" w:eastAsia="Calibri" w:hAnsi="Times New Roman" w:cs="Times New Roman"/>
                <w:sz w:val="24"/>
                <w:szCs w:val="24"/>
              </w:rPr>
            </w:pP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Assess and outline plans to address potential capacity constraints in government agencies, companies, and civil society that may hinder effective EITI implementation. </w:t>
            </w:r>
          </w:p>
          <w:p w14:paraId="0C83E04D" w14:textId="77777777" w:rsidR="00423D65" w:rsidRPr="00B64E68" w:rsidRDefault="00423D65" w:rsidP="0057476A">
            <w:pPr>
              <w:spacing w:after="80"/>
              <w:jc w:val="both"/>
              <w:rPr>
                <w:rFonts w:ascii="Times New Roman" w:eastAsia="Calibri" w:hAnsi="Times New Roman" w:cs="Times New Roman"/>
                <w:sz w:val="24"/>
                <w:szCs w:val="24"/>
              </w:rPr>
            </w:pPr>
          </w:p>
          <w:p w14:paraId="3A409CA0"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ii. Address the scope of EITI reporting, including plans for addressing technical reporting aspects, such as comprehensiveness and data reliability (Requirements 4.1 and 4.9).</w:t>
            </w:r>
          </w:p>
          <w:p w14:paraId="5BC577DF" w14:textId="77777777" w:rsidR="00423D65" w:rsidRPr="00B64E68" w:rsidRDefault="00423D65" w:rsidP="0057476A">
            <w:pPr>
              <w:spacing w:after="80"/>
              <w:jc w:val="both"/>
              <w:rPr>
                <w:rFonts w:ascii="Times New Roman" w:eastAsia="Calibri" w:hAnsi="Times New Roman" w:cs="Times New Roman"/>
                <w:sz w:val="24"/>
                <w:szCs w:val="24"/>
              </w:rPr>
            </w:pPr>
          </w:p>
          <w:p w14:paraId="4194865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iii. Identify and outline plans to address any potential legal or regulatory obstacles to EITI implementation, including, if applicable, any plans to incorporate the EITI Requirements within national legislation or regulation. </w:t>
            </w:r>
          </w:p>
          <w:p w14:paraId="79F3B49D" w14:textId="77777777" w:rsidR="00423D65" w:rsidRPr="00B64E68" w:rsidRDefault="00423D65" w:rsidP="0057476A">
            <w:pPr>
              <w:spacing w:after="80"/>
              <w:jc w:val="both"/>
              <w:rPr>
                <w:rFonts w:ascii="Times New Roman" w:eastAsia="Calibri" w:hAnsi="Times New Roman" w:cs="Times New Roman"/>
                <w:sz w:val="24"/>
                <w:szCs w:val="24"/>
              </w:rPr>
            </w:pPr>
          </w:p>
          <w:p w14:paraId="1564DD8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iv. Outline the multi-stakeholder group’s plans for implementing Validation and EITI reporting recommendations.</w:t>
            </w:r>
          </w:p>
          <w:p w14:paraId="59934C7F" w14:textId="77777777" w:rsidR="00423D65" w:rsidRPr="00B64E68" w:rsidRDefault="00423D65" w:rsidP="0057476A">
            <w:pPr>
              <w:spacing w:after="80"/>
              <w:jc w:val="both"/>
              <w:rPr>
                <w:rFonts w:ascii="Times New Roman" w:eastAsia="Calibri" w:hAnsi="Times New Roman" w:cs="Times New Roman"/>
                <w:sz w:val="24"/>
                <w:szCs w:val="24"/>
              </w:rPr>
            </w:pPr>
          </w:p>
          <w:p w14:paraId="02EA96C8"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d) Identify domestic and external funding sources and technical assistance where appropriate to ensure timely implementation of the agreed work plan. </w:t>
            </w:r>
          </w:p>
          <w:p w14:paraId="7CA726AF" w14:textId="77777777" w:rsidR="00423D65" w:rsidRPr="00B64E68" w:rsidRDefault="00423D65" w:rsidP="0057476A">
            <w:pPr>
              <w:spacing w:after="80"/>
              <w:jc w:val="both"/>
              <w:rPr>
                <w:rFonts w:ascii="Times New Roman" w:eastAsia="Calibri" w:hAnsi="Times New Roman" w:cs="Times New Roman"/>
                <w:sz w:val="24"/>
                <w:szCs w:val="24"/>
              </w:rPr>
            </w:pPr>
          </w:p>
          <w:p w14:paraId="3383F1F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e) Be made widely available to the public, for example, published on the national EITI website and/or other relevant ministry and </w:t>
            </w:r>
            <w:r w:rsidRPr="00B64E68">
              <w:rPr>
                <w:rFonts w:ascii="Times New Roman" w:eastAsia="Calibri" w:hAnsi="Times New Roman" w:cs="Times New Roman"/>
                <w:sz w:val="24"/>
                <w:szCs w:val="24"/>
              </w:rPr>
              <w:lastRenderedPageBreak/>
              <w:t xml:space="preserve">agency websites, in print media, or in places that are easily accessible to the public. </w:t>
            </w:r>
          </w:p>
          <w:p w14:paraId="67E6CBA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f) Be reviewed and updated annually. In reviewing the work plan, the multi-stakeholder group should consider extending the detail and scope of EITI reporting, including addressing issues such as revenue management and expenditure (5.3), transportation payments (4.4), discretionary social expenses (6.1.b), ad-hoc sub-national transfers (5.2.b), beneficial ownership (2.5) and contracts (2.4). </w:t>
            </w:r>
          </w:p>
          <w:p w14:paraId="1C208D1B" w14:textId="77777777" w:rsidR="00423D65" w:rsidRPr="00B64E68" w:rsidRDefault="00423D65" w:rsidP="0057476A">
            <w:pPr>
              <w:spacing w:after="80"/>
              <w:jc w:val="both"/>
              <w:rPr>
                <w:rFonts w:ascii="Times New Roman" w:eastAsia="Calibri" w:hAnsi="Times New Roman" w:cs="Times New Roman"/>
                <w:sz w:val="24"/>
                <w:szCs w:val="24"/>
              </w:rPr>
            </w:pPr>
          </w:p>
          <w:p w14:paraId="27D215C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Under Requirement 1.4.b (viii), the multi-stakeholder group must document its discussion and decisions.</w:t>
            </w:r>
          </w:p>
          <w:p w14:paraId="419B673D" w14:textId="77777777" w:rsidR="00423D65" w:rsidRPr="00B64E68" w:rsidRDefault="00423D65" w:rsidP="0057476A">
            <w:pPr>
              <w:spacing w:after="80"/>
              <w:jc w:val="both"/>
              <w:rPr>
                <w:rFonts w:ascii="Times New Roman" w:eastAsia="Calibri" w:hAnsi="Times New Roman" w:cs="Times New Roman"/>
                <w:sz w:val="24"/>
                <w:szCs w:val="24"/>
              </w:rPr>
            </w:pPr>
          </w:p>
          <w:p w14:paraId="01D45C1E"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g) Include a timetable for implementation aligned with the reporting and Validation deadlines established by the EITI Board (see provision 8), which considers administrative requirements such as procurement processes and funding.</w:t>
            </w:r>
          </w:p>
        </w:tc>
        <w:tc>
          <w:tcPr>
            <w:tcW w:w="4788" w:type="dxa"/>
          </w:tcPr>
          <w:p w14:paraId="4ADE8CEA" w14:textId="2CE61D98"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During the reviewed period and </w:t>
            </w:r>
            <w:r>
              <w:rPr>
                <w:rFonts w:ascii="Times New Roman" w:eastAsia="Calibri" w:hAnsi="Times New Roman" w:cs="Times New Roman"/>
                <w:sz w:val="24"/>
                <w:szCs w:val="24"/>
              </w:rPr>
              <w:t xml:space="preserve">in </w:t>
            </w:r>
            <w:r w:rsidRPr="00B64E68">
              <w:rPr>
                <w:rFonts w:ascii="Times New Roman" w:eastAsia="Calibri" w:hAnsi="Times New Roman" w:cs="Times New Roman"/>
                <w:sz w:val="24"/>
                <w:szCs w:val="24"/>
              </w:rPr>
              <w:t>keeping with Requirement 1.5, LEITI prepared</w:t>
            </w:r>
            <w:r w:rsidR="0020029D">
              <w:rPr>
                <w:rFonts w:ascii="Times New Roman" w:eastAsia="Calibri" w:hAnsi="Times New Roman" w:cs="Times New Roman"/>
                <w:sz w:val="24"/>
                <w:szCs w:val="24"/>
              </w:rPr>
              <w:t xml:space="preserve"> a</w:t>
            </w:r>
            <w:r w:rsidRPr="00B64E68">
              <w:rPr>
                <w:rFonts w:ascii="Times New Roman" w:eastAsia="Calibri" w:hAnsi="Times New Roman" w:cs="Times New Roman"/>
                <w:sz w:val="24"/>
                <w:szCs w:val="24"/>
              </w:rPr>
              <w:t xml:space="preserve"> two</w:t>
            </w:r>
            <w:r w:rsidR="0020029D">
              <w:rPr>
                <w:rFonts w:ascii="Times New Roman" w:eastAsia="Calibri" w:hAnsi="Times New Roman" w:cs="Times New Roman"/>
                <w:sz w:val="24"/>
                <w:szCs w:val="24"/>
              </w:rPr>
              <w:t xml:space="preserve">-year </w:t>
            </w:r>
            <w:r w:rsidRPr="00B64E68">
              <w:rPr>
                <w:rFonts w:ascii="Times New Roman" w:eastAsia="Calibri" w:hAnsi="Times New Roman" w:cs="Times New Roman"/>
                <w:sz w:val="24"/>
                <w:szCs w:val="24"/>
              </w:rPr>
              <w:t>well-costed workplan driven by substantive and collective inputs from MSG members</w:t>
            </w:r>
            <w:r w:rsidR="00487D3F">
              <w:rPr>
                <w:rFonts w:ascii="Times New Roman" w:eastAsia="Calibri" w:hAnsi="Times New Roman" w:cs="Times New Roman"/>
                <w:sz w:val="24"/>
                <w:szCs w:val="24"/>
              </w:rPr>
              <w:t xml:space="preserve"> and stakeholders outside the MSG</w:t>
            </w:r>
            <w:r w:rsidRPr="00B64E68">
              <w:rPr>
                <w:rFonts w:ascii="Times New Roman" w:eastAsia="Calibri" w:hAnsi="Times New Roman" w:cs="Times New Roman"/>
                <w:sz w:val="24"/>
                <w:szCs w:val="24"/>
              </w:rPr>
              <w:t>. The two</w:t>
            </w:r>
            <w:r w:rsidR="00487D3F">
              <w:rPr>
                <w:rFonts w:ascii="Times New Roman" w:eastAsia="Calibri" w:hAnsi="Times New Roman" w:cs="Times New Roman"/>
                <w:sz w:val="24"/>
                <w:szCs w:val="24"/>
              </w:rPr>
              <w:t>-year</w:t>
            </w:r>
            <w:r w:rsidRPr="00B64E68">
              <w:rPr>
                <w:rFonts w:ascii="Times New Roman" w:eastAsia="Calibri" w:hAnsi="Times New Roman" w:cs="Times New Roman"/>
                <w:sz w:val="24"/>
                <w:szCs w:val="24"/>
              </w:rPr>
              <w:t xml:space="preserve"> workplan covered J</w:t>
            </w:r>
            <w:r w:rsidR="00487D3F">
              <w:rPr>
                <w:rFonts w:ascii="Times New Roman" w:eastAsia="Calibri" w:hAnsi="Times New Roman" w:cs="Times New Roman"/>
                <w:sz w:val="24"/>
                <w:szCs w:val="24"/>
              </w:rPr>
              <w:t>anuary</w:t>
            </w:r>
            <w:r w:rsidRPr="00B64E68">
              <w:rPr>
                <w:rFonts w:ascii="Times New Roman" w:eastAsia="Calibri" w:hAnsi="Times New Roman" w:cs="Times New Roman"/>
                <w:sz w:val="24"/>
                <w:szCs w:val="24"/>
              </w:rPr>
              <w:t xml:space="preserve"> 1, 202</w:t>
            </w:r>
            <w:r w:rsidR="00487D3F">
              <w:rPr>
                <w:rFonts w:ascii="Times New Roman" w:eastAsia="Calibri" w:hAnsi="Times New Roman" w:cs="Times New Roman"/>
                <w:sz w:val="24"/>
                <w:szCs w:val="24"/>
              </w:rPr>
              <w:t>4</w:t>
            </w:r>
            <w:r w:rsidRPr="00B64E68">
              <w:rPr>
                <w:rFonts w:ascii="Times New Roman" w:eastAsia="Calibri" w:hAnsi="Times New Roman" w:cs="Times New Roman"/>
                <w:sz w:val="24"/>
                <w:szCs w:val="24"/>
              </w:rPr>
              <w:t xml:space="preserve">, to </w:t>
            </w:r>
            <w:r w:rsidR="00487D3F">
              <w:rPr>
                <w:rFonts w:ascii="Times New Roman" w:eastAsia="Calibri" w:hAnsi="Times New Roman" w:cs="Times New Roman"/>
                <w:sz w:val="24"/>
                <w:szCs w:val="24"/>
              </w:rPr>
              <w:t>December</w:t>
            </w:r>
            <w:r w:rsidRPr="00B64E68">
              <w:rPr>
                <w:rFonts w:ascii="Times New Roman" w:eastAsia="Calibri" w:hAnsi="Times New Roman" w:cs="Times New Roman"/>
                <w:sz w:val="24"/>
                <w:szCs w:val="24"/>
              </w:rPr>
              <w:t xml:space="preserve"> 3</w:t>
            </w:r>
            <w:r w:rsidR="00487D3F">
              <w:rPr>
                <w:rFonts w:ascii="Times New Roman" w:eastAsia="Calibri" w:hAnsi="Times New Roman" w:cs="Times New Roman"/>
                <w:sz w:val="24"/>
                <w:szCs w:val="24"/>
              </w:rPr>
              <w:t>1</w:t>
            </w:r>
            <w:r w:rsidRPr="00B64E68">
              <w:rPr>
                <w:rFonts w:ascii="Times New Roman" w:eastAsia="Calibri" w:hAnsi="Times New Roman" w:cs="Times New Roman"/>
                <w:sz w:val="24"/>
                <w:szCs w:val="24"/>
              </w:rPr>
              <w:t>, 202</w:t>
            </w:r>
            <w:r w:rsidR="00487D3F">
              <w:rPr>
                <w:rFonts w:ascii="Times New Roman" w:eastAsia="Calibri" w:hAnsi="Times New Roman" w:cs="Times New Roman"/>
                <w:sz w:val="24"/>
                <w:szCs w:val="24"/>
              </w:rPr>
              <w:t>5</w:t>
            </w:r>
            <w:r w:rsidRPr="00B64E68">
              <w:rPr>
                <w:rFonts w:ascii="Times New Roman" w:eastAsia="Calibri" w:hAnsi="Times New Roman" w:cs="Times New Roman"/>
                <w:sz w:val="24"/>
                <w:szCs w:val="24"/>
              </w:rPr>
              <w:t xml:space="preserve">. The workplan encompasses deliverables to achieve the EITI Standard Act of 2009 and conforms to the </w:t>
            </w:r>
            <w:r w:rsidR="00487D3F">
              <w:rPr>
                <w:rFonts w:ascii="Times New Roman" w:eastAsia="Calibri" w:hAnsi="Times New Roman" w:cs="Times New Roman"/>
                <w:sz w:val="24"/>
                <w:szCs w:val="24"/>
              </w:rPr>
              <w:t>ARREST</w:t>
            </w:r>
            <w:r w:rsidRPr="00B64E68">
              <w:rPr>
                <w:rFonts w:ascii="Times New Roman" w:eastAsia="Calibri" w:hAnsi="Times New Roman" w:cs="Times New Roman"/>
                <w:sz w:val="24"/>
                <w:szCs w:val="24"/>
              </w:rPr>
              <w:t>, the nation’s overarching development plan.</w:t>
            </w:r>
          </w:p>
          <w:p w14:paraId="56D0D8AE" w14:textId="77777777" w:rsidR="00423D65" w:rsidRPr="00B64E68" w:rsidRDefault="00423D65" w:rsidP="0057476A">
            <w:pPr>
              <w:spacing w:after="80"/>
              <w:jc w:val="both"/>
              <w:rPr>
                <w:rFonts w:ascii="Times New Roman" w:eastAsia="Calibri" w:hAnsi="Times New Roman" w:cs="Times New Roman"/>
                <w:sz w:val="24"/>
                <w:szCs w:val="24"/>
              </w:rPr>
            </w:pPr>
          </w:p>
          <w:p w14:paraId="25157CBB" w14:textId="540E3283"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Key deliverables of the 2</w:t>
            </w:r>
            <w:r w:rsidR="00DE61DC">
              <w:rPr>
                <w:rFonts w:ascii="Times New Roman" w:eastAsia="Calibri" w:hAnsi="Times New Roman" w:cs="Times New Roman"/>
                <w:sz w:val="24"/>
                <w:szCs w:val="24"/>
              </w:rPr>
              <w:t>024-2025</w:t>
            </w:r>
            <w:r w:rsidRPr="00B64E68">
              <w:rPr>
                <w:rFonts w:ascii="Times New Roman" w:eastAsia="Calibri" w:hAnsi="Times New Roman" w:cs="Times New Roman"/>
                <w:sz w:val="24"/>
                <w:szCs w:val="24"/>
              </w:rPr>
              <w:t xml:space="preserve"> work plan are the preparation of the 1</w:t>
            </w:r>
            <w:r w:rsidR="00DE61DC">
              <w:rPr>
                <w:rFonts w:ascii="Times New Roman" w:eastAsia="Calibri" w:hAnsi="Times New Roman" w:cs="Times New Roman"/>
                <w:sz w:val="24"/>
                <w:szCs w:val="24"/>
              </w:rPr>
              <w:t>5</w:t>
            </w:r>
            <w:r w:rsidRPr="00DE61DC">
              <w:rPr>
                <w:rFonts w:ascii="Times New Roman" w:eastAsia="Calibri" w:hAnsi="Times New Roman" w:cs="Times New Roman"/>
                <w:sz w:val="24"/>
                <w:szCs w:val="24"/>
                <w:vertAlign w:val="superscript"/>
              </w:rPr>
              <w:t>th</w:t>
            </w:r>
            <w:r w:rsidR="00DE61DC">
              <w:rPr>
                <w:rFonts w:ascii="Times New Roman" w:eastAsia="Calibri" w:hAnsi="Times New Roman" w:cs="Times New Roman"/>
                <w:sz w:val="24"/>
                <w:szCs w:val="24"/>
              </w:rPr>
              <w:t xml:space="preserve"> and 16</w:t>
            </w:r>
            <w:proofErr w:type="gramStart"/>
            <w:r w:rsidR="00DE61DC" w:rsidRPr="00DE61DC">
              <w:rPr>
                <w:rFonts w:ascii="Times New Roman" w:eastAsia="Calibri" w:hAnsi="Times New Roman" w:cs="Times New Roman"/>
                <w:sz w:val="24"/>
                <w:szCs w:val="24"/>
                <w:vertAlign w:val="superscript"/>
              </w:rPr>
              <w:t>th</w:t>
            </w:r>
            <w:r w:rsidR="00DE61DC">
              <w:rPr>
                <w:rFonts w:ascii="Times New Roman" w:eastAsia="Calibri" w:hAnsi="Times New Roman" w:cs="Times New Roman"/>
                <w:sz w:val="24"/>
                <w:szCs w:val="24"/>
              </w:rPr>
              <w:t xml:space="preserve"> </w:t>
            </w:r>
            <w:r w:rsidRPr="00B64E68">
              <w:rPr>
                <w:rFonts w:ascii="Times New Roman" w:eastAsia="Calibri" w:hAnsi="Times New Roman" w:cs="Times New Roman"/>
                <w:sz w:val="24"/>
                <w:szCs w:val="24"/>
              </w:rPr>
              <w:t xml:space="preserve"> EITI</w:t>
            </w:r>
            <w:proofErr w:type="gramEnd"/>
            <w:r w:rsidRPr="00B64E68">
              <w:rPr>
                <w:rFonts w:ascii="Times New Roman" w:eastAsia="Calibri" w:hAnsi="Times New Roman" w:cs="Times New Roman"/>
                <w:sz w:val="24"/>
                <w:szCs w:val="24"/>
              </w:rPr>
              <w:t xml:space="preserve"> Report</w:t>
            </w:r>
            <w:r w:rsidR="00DE61DC">
              <w:rPr>
                <w:rFonts w:ascii="Times New Roman" w:eastAsia="Calibri" w:hAnsi="Times New Roman" w:cs="Times New Roman"/>
                <w:sz w:val="24"/>
                <w:szCs w:val="24"/>
              </w:rPr>
              <w:t>s</w:t>
            </w:r>
            <w:r w:rsidRPr="00B64E68">
              <w:rPr>
                <w:rFonts w:ascii="Times New Roman" w:eastAsia="Calibri" w:hAnsi="Times New Roman" w:cs="Times New Roman"/>
                <w:sz w:val="24"/>
                <w:szCs w:val="24"/>
              </w:rPr>
              <w:t xml:space="preserve"> on Liberia, the restructuring of the LEITI website and social media outlets, the Establishment of Beneficial Ownership (BO) Register for BO regime implementation, Facilitate Liberia’s EITI Mainstreaming process for efficient and effective reporting. Significant progress was made towards the achievements of the outlined. All approved decisions came from the MSG in their sittings </w:t>
            </w:r>
            <w:r w:rsidRPr="00B64E68">
              <w:rPr>
                <w:rFonts w:ascii="Times New Roman" w:eastAsia="Calibri" w:hAnsi="Times New Roman" w:cs="Times New Roman"/>
                <w:sz w:val="24"/>
                <w:szCs w:val="24"/>
              </w:rPr>
              <w:lastRenderedPageBreak/>
              <w:t>and consensus-building, meaning every sector made inputs that impacted these decisions.</w:t>
            </w:r>
          </w:p>
          <w:p w14:paraId="445ECC8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As MSG meeting minutes, all decisions reached are recorded and uploaded to the LEITI website.</w:t>
            </w:r>
          </w:p>
          <w:p w14:paraId="03D93289" w14:textId="77777777" w:rsidR="00423D65" w:rsidRPr="00B64E68" w:rsidRDefault="00423D65" w:rsidP="0057476A">
            <w:pPr>
              <w:spacing w:after="80"/>
              <w:jc w:val="both"/>
              <w:rPr>
                <w:rFonts w:ascii="Times New Roman" w:eastAsia="Calibri" w:hAnsi="Times New Roman" w:cs="Times New Roman"/>
                <w:sz w:val="24"/>
                <w:szCs w:val="24"/>
              </w:rPr>
            </w:pPr>
          </w:p>
          <w:p w14:paraId="3E745CEE" w14:textId="12291C66" w:rsidR="00423D65" w:rsidRPr="00B64E68" w:rsidRDefault="00DE61DC"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During the period under review, the MSG approved a comprehensive roadmap for addressing corrective actions from the last validation. </w:t>
            </w:r>
          </w:p>
          <w:p w14:paraId="111DE1EB" w14:textId="77777777" w:rsidR="00423D65" w:rsidRPr="00B64E68" w:rsidRDefault="00423D65" w:rsidP="0057476A">
            <w:pPr>
              <w:spacing w:after="80"/>
              <w:jc w:val="both"/>
              <w:rPr>
                <w:rFonts w:ascii="Times New Roman" w:eastAsia="Calibri" w:hAnsi="Times New Roman" w:cs="Times New Roman"/>
                <w:sz w:val="24"/>
                <w:szCs w:val="24"/>
              </w:rPr>
            </w:pPr>
          </w:p>
          <w:p w14:paraId="4838FCB3" w14:textId="77777777" w:rsidR="00423D65"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w:t>
            </w:r>
            <w:r w:rsidR="00DE61DC">
              <w:rPr>
                <w:rFonts w:ascii="Times New Roman" w:eastAsia="Calibri" w:hAnsi="Times New Roman" w:cs="Times New Roman"/>
                <w:sz w:val="24"/>
                <w:szCs w:val="24"/>
              </w:rPr>
              <w:t>During the period under review, while discussing and approving the inception reports for the 15</w:t>
            </w:r>
            <w:r w:rsidR="00DE61DC" w:rsidRPr="00DE61DC">
              <w:rPr>
                <w:rFonts w:ascii="Times New Roman" w:eastAsia="Calibri" w:hAnsi="Times New Roman" w:cs="Times New Roman"/>
                <w:sz w:val="24"/>
                <w:szCs w:val="24"/>
                <w:vertAlign w:val="superscript"/>
              </w:rPr>
              <w:t>th</w:t>
            </w:r>
            <w:r w:rsidR="00DE61DC">
              <w:rPr>
                <w:rFonts w:ascii="Times New Roman" w:eastAsia="Calibri" w:hAnsi="Times New Roman" w:cs="Times New Roman"/>
                <w:sz w:val="24"/>
                <w:szCs w:val="24"/>
              </w:rPr>
              <w:t xml:space="preserve"> and 16</w:t>
            </w:r>
            <w:r w:rsidR="00DE61DC" w:rsidRPr="00DE61DC">
              <w:rPr>
                <w:rFonts w:ascii="Times New Roman" w:eastAsia="Calibri" w:hAnsi="Times New Roman" w:cs="Times New Roman"/>
                <w:sz w:val="24"/>
                <w:szCs w:val="24"/>
                <w:vertAlign w:val="superscript"/>
              </w:rPr>
              <w:t>th</w:t>
            </w:r>
            <w:r w:rsidR="00DE61DC">
              <w:rPr>
                <w:rFonts w:ascii="Times New Roman" w:eastAsia="Calibri" w:hAnsi="Times New Roman" w:cs="Times New Roman"/>
                <w:sz w:val="24"/>
                <w:szCs w:val="24"/>
              </w:rPr>
              <w:t xml:space="preserve"> EITI reports, agreed on key measures to take to ensure data comprehensiveness and reliability. </w:t>
            </w:r>
          </w:p>
          <w:p w14:paraId="29537284" w14:textId="77777777" w:rsidR="00DE61DC" w:rsidRDefault="00DE61DC" w:rsidP="00DE61DC">
            <w:pPr>
              <w:rPr>
                <w:rFonts w:ascii="Times New Roman" w:eastAsia="Calibri" w:hAnsi="Times New Roman" w:cs="Times New Roman"/>
                <w:sz w:val="24"/>
                <w:szCs w:val="24"/>
              </w:rPr>
            </w:pPr>
          </w:p>
          <w:p w14:paraId="24818BFB" w14:textId="77777777" w:rsidR="00DE61DC" w:rsidRDefault="00DE61DC" w:rsidP="00DE61DC">
            <w:pPr>
              <w:rPr>
                <w:rFonts w:ascii="Times New Roman" w:eastAsia="Calibri" w:hAnsi="Times New Roman" w:cs="Times New Roman"/>
                <w:sz w:val="24"/>
                <w:szCs w:val="24"/>
              </w:rPr>
            </w:pPr>
            <w:r>
              <w:rPr>
                <w:rFonts w:ascii="Times New Roman" w:eastAsia="Calibri" w:hAnsi="Times New Roman" w:cs="Times New Roman"/>
                <w:sz w:val="24"/>
                <w:szCs w:val="24"/>
              </w:rPr>
              <w:t>Not Applicable</w:t>
            </w:r>
          </w:p>
          <w:p w14:paraId="796E17DC" w14:textId="77777777" w:rsidR="00DE61DC" w:rsidRPr="00DE61DC" w:rsidRDefault="00DE61DC" w:rsidP="00DE61DC">
            <w:pPr>
              <w:rPr>
                <w:rFonts w:ascii="Times New Roman" w:eastAsia="Calibri" w:hAnsi="Times New Roman" w:cs="Times New Roman"/>
                <w:sz w:val="24"/>
                <w:szCs w:val="24"/>
              </w:rPr>
            </w:pPr>
          </w:p>
          <w:p w14:paraId="1661548B" w14:textId="77777777" w:rsidR="00DE61DC" w:rsidRPr="00DE61DC" w:rsidRDefault="00DE61DC" w:rsidP="00DE61DC">
            <w:pPr>
              <w:rPr>
                <w:rFonts w:ascii="Times New Roman" w:eastAsia="Calibri" w:hAnsi="Times New Roman" w:cs="Times New Roman"/>
                <w:sz w:val="24"/>
                <w:szCs w:val="24"/>
              </w:rPr>
            </w:pPr>
          </w:p>
          <w:p w14:paraId="0AA537F3" w14:textId="77777777" w:rsidR="00DE61DC" w:rsidRDefault="00DE61DC" w:rsidP="00DE61DC">
            <w:pPr>
              <w:rPr>
                <w:rFonts w:ascii="Times New Roman" w:eastAsia="Calibri" w:hAnsi="Times New Roman" w:cs="Times New Roman"/>
                <w:sz w:val="24"/>
                <w:szCs w:val="24"/>
              </w:rPr>
            </w:pPr>
          </w:p>
          <w:p w14:paraId="7F60269C" w14:textId="77777777" w:rsidR="00DE61DC" w:rsidRPr="00B64E68" w:rsidRDefault="00DE61DC" w:rsidP="00DE61DC">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During the period under review, the MSG approved a comprehensive roadmap for addressing corrective actions from the last validation. </w:t>
            </w:r>
          </w:p>
          <w:p w14:paraId="766F13ED" w14:textId="77777777" w:rsidR="00DE61DC" w:rsidRDefault="00DE61DC" w:rsidP="00DE61DC">
            <w:pPr>
              <w:rPr>
                <w:rFonts w:ascii="Times New Roman" w:eastAsia="Calibri" w:hAnsi="Times New Roman" w:cs="Times New Roman"/>
                <w:sz w:val="24"/>
                <w:szCs w:val="24"/>
              </w:rPr>
            </w:pPr>
            <w:r>
              <w:rPr>
                <w:rFonts w:ascii="Times New Roman" w:eastAsia="Calibri" w:hAnsi="Times New Roman" w:cs="Times New Roman"/>
                <w:sz w:val="24"/>
                <w:szCs w:val="24"/>
              </w:rPr>
              <w:t xml:space="preserve">During the period under review, the MSG clearly identified funding sources in its work plans to support EITI implementation. </w:t>
            </w:r>
          </w:p>
          <w:p w14:paraId="5679C997" w14:textId="77777777" w:rsidR="00DE61DC" w:rsidRDefault="00DE61DC" w:rsidP="00DE61DC">
            <w:pPr>
              <w:rPr>
                <w:rFonts w:ascii="Times New Roman" w:eastAsia="Calibri" w:hAnsi="Times New Roman" w:cs="Times New Roman"/>
                <w:sz w:val="24"/>
                <w:szCs w:val="24"/>
              </w:rPr>
            </w:pPr>
          </w:p>
          <w:p w14:paraId="12B8DF54" w14:textId="77777777" w:rsidR="00DE61DC" w:rsidRDefault="00DE61DC" w:rsidP="00DE61DC">
            <w:pPr>
              <w:rPr>
                <w:rFonts w:ascii="Times New Roman" w:eastAsia="Calibri" w:hAnsi="Times New Roman" w:cs="Times New Roman"/>
                <w:sz w:val="24"/>
                <w:szCs w:val="24"/>
              </w:rPr>
            </w:pPr>
            <w:r>
              <w:rPr>
                <w:rFonts w:ascii="Times New Roman" w:eastAsia="Calibri" w:hAnsi="Times New Roman" w:cs="Times New Roman"/>
                <w:sz w:val="24"/>
                <w:szCs w:val="24"/>
              </w:rPr>
              <w:t xml:space="preserve">During the period under review, all LEITI work plans were publicly available on its websites and Facebook page. </w:t>
            </w:r>
          </w:p>
          <w:p w14:paraId="4FD84429" w14:textId="467A1B53" w:rsidR="00DE61DC" w:rsidRDefault="00DE61DC" w:rsidP="00DE61DC">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All meetings of the Body are clearly documented and posted on the LEITI Secretariat website for public access. </w:t>
            </w:r>
          </w:p>
          <w:p w14:paraId="4270A47A" w14:textId="7FFBC8E3" w:rsidR="00DE61DC" w:rsidRPr="00DE61DC" w:rsidRDefault="00DE61DC" w:rsidP="00DE61DC">
            <w:pPr>
              <w:rPr>
                <w:rFonts w:ascii="Times New Roman" w:eastAsia="Calibri" w:hAnsi="Times New Roman" w:cs="Times New Roman"/>
                <w:sz w:val="24"/>
                <w:szCs w:val="24"/>
              </w:rPr>
            </w:pPr>
            <w:r>
              <w:rPr>
                <w:rFonts w:ascii="Times New Roman" w:eastAsia="Calibri" w:hAnsi="Times New Roman" w:cs="Times New Roman"/>
                <w:sz w:val="24"/>
                <w:szCs w:val="24"/>
              </w:rPr>
              <w:t xml:space="preserve">All LEITI Workplans are time-bound with clear objectives. </w:t>
            </w:r>
          </w:p>
        </w:tc>
      </w:tr>
      <w:tr w:rsidR="00423D65" w:rsidRPr="00B64E68" w14:paraId="7B3003BC" w14:textId="77777777" w:rsidTr="0057476A">
        <w:tc>
          <w:tcPr>
            <w:tcW w:w="4788" w:type="dxa"/>
          </w:tcPr>
          <w:p w14:paraId="41B9EE2C" w14:textId="77777777" w:rsidR="00423D65" w:rsidRPr="00B64E68" w:rsidRDefault="00423D65" w:rsidP="0057476A">
            <w:pPr>
              <w:tabs>
                <w:tab w:val="left" w:pos="285"/>
              </w:tabs>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lastRenderedPageBreak/>
              <w:t>Requirement 2: Legal and institutional framework, including allocating contracts and licenses.</w:t>
            </w:r>
          </w:p>
          <w:p w14:paraId="14F2F1B8" w14:textId="77777777" w:rsidR="00423D65" w:rsidRPr="00B64E68" w:rsidRDefault="00423D65" w:rsidP="0057476A">
            <w:pPr>
              <w:tabs>
                <w:tab w:val="left" w:pos="285"/>
              </w:tabs>
              <w:spacing w:after="80"/>
              <w:jc w:val="both"/>
              <w:rPr>
                <w:rFonts w:ascii="Times New Roman" w:eastAsia="Calibri" w:hAnsi="Times New Roman" w:cs="Times New Roman"/>
                <w:sz w:val="24"/>
                <w:szCs w:val="24"/>
                <w:u w:val="single"/>
              </w:rPr>
            </w:pPr>
          </w:p>
          <w:p w14:paraId="472FCA41" w14:textId="77777777" w:rsidR="00423D65" w:rsidRPr="00B64E68" w:rsidRDefault="00423D65" w:rsidP="0057476A">
            <w:pPr>
              <w:tabs>
                <w:tab w:val="left" w:pos="285"/>
              </w:tabs>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2.1</w:t>
            </w:r>
          </w:p>
          <w:p w14:paraId="0F6EF21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Legal framework and fiscal regime. </w:t>
            </w:r>
          </w:p>
          <w:p w14:paraId="2E4AF57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Implementing countries must disclose a description of the legal framework and fiscal regime governing the extractive industries. This information must include a summary description of the fiscal regime, including the level of fiscal devolution, an overview of the relevant laws and regulations, and information on the roles and responsibilities of the appropriate government agencies. </w:t>
            </w:r>
          </w:p>
          <w:p w14:paraId="0CB883A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DA006F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b)  Where the government is undertaking reforms, the multi-stakeholder group is encouraged to be documented.</w:t>
            </w:r>
          </w:p>
          <w:p w14:paraId="1F39303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FFC789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3AA157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F053D8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7166E1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28925C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27AB4C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875475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63E149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6A9C69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A347CD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AA6838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1116F3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4E49D9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17FB44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B33E7A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149CB2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704665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ED643F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CFAFF7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427B87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2DDBD9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FBE775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8F5DEC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B70A14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AE72B7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17AF01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45A3C6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4CB701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B98F3A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5C950A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728B6F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001065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25C154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1AA674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148874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67B688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765951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F159E3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B62D44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975B7A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412523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DE7C5D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F9DB11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FA0372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070543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05BB0C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89A74D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880A00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987798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D4DA26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65C475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D2AEE4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30554F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E9A7DB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7D5056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23C53C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F669E6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ED6EC1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62B398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34B5C8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D2917B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C7E655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802D9D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06B736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5372B0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079B77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880B5B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CC8D52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FA5E33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A0A17E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0440D3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DBB494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4F6E3E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E92478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CCFA0E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45C65B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7B6958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2939F3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4507B0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E8C277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1D2BFF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D1C634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519FCE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108F16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F22E10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81EA74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B0316E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09318F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6310B7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292221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B31720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2EFD1C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54EABD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622F89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6A7E6D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24F971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264A7D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A87FCC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DF9737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5CFDB9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228531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009C49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1C7F07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E6182C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DE34CA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3FFC72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68911F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382296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37B795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2EAAA1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F8B0F2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4D09E1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24CAF6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2F1788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4A9ADC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C7CAA4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59DFAE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8AE587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385899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4FBC84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A3E6F8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84A83C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DAE90C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CF43B0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089E34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4E1AD5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0C35DB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1EFD68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906D6B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668B94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A98772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61F693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E13FAE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F8C87C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D4157F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ED8C95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DB0FF5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A41C78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88FCAE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F68B3E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EC960A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E8ED7E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8FE0AA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4EB1F3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B19D24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8A3EDD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3E73B7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8E174E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C4EF45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BFFDA5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168DCE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EEF6FE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2A4863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CBD1C7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DFA7F3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DF017D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ED01E7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12CFF3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647A7D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5FF9CA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A2A9F6B"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032AE6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35979C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AA2021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436FFA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CFB6915"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3FB57B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C6108E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19E942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BA766A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01ADD0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19D474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9C364E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803B7EE" w14:textId="77777777" w:rsidR="00423D65" w:rsidRPr="00B64E68" w:rsidRDefault="00423D65" w:rsidP="0057476A">
            <w:pPr>
              <w:tabs>
                <w:tab w:val="left" w:pos="285"/>
              </w:tabs>
              <w:spacing w:after="80"/>
              <w:jc w:val="both"/>
              <w:rPr>
                <w:rFonts w:ascii="Times New Roman" w:eastAsia="Calibri" w:hAnsi="Times New Roman" w:cs="Times New Roman"/>
                <w:sz w:val="24"/>
                <w:szCs w:val="24"/>
                <w:u w:val="single"/>
              </w:rPr>
            </w:pPr>
          </w:p>
          <w:p w14:paraId="51B40B83" w14:textId="77777777" w:rsidR="00423D65" w:rsidRPr="00B64E68" w:rsidRDefault="00423D65" w:rsidP="0057476A">
            <w:pPr>
              <w:tabs>
                <w:tab w:val="left" w:pos="285"/>
              </w:tabs>
              <w:spacing w:after="80"/>
              <w:jc w:val="both"/>
              <w:rPr>
                <w:rFonts w:ascii="Times New Roman" w:eastAsia="Calibri" w:hAnsi="Times New Roman" w:cs="Times New Roman"/>
                <w:sz w:val="24"/>
                <w:szCs w:val="24"/>
                <w:u w:val="single"/>
              </w:rPr>
            </w:pPr>
          </w:p>
          <w:p w14:paraId="032A8992" w14:textId="77777777" w:rsidR="00423D65" w:rsidRPr="00B64E68" w:rsidRDefault="00423D65" w:rsidP="0057476A">
            <w:pPr>
              <w:tabs>
                <w:tab w:val="left" w:pos="285"/>
              </w:tabs>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 xml:space="preserve">Requirement (2.2) </w:t>
            </w:r>
          </w:p>
          <w:p w14:paraId="11EC458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License allocations. </w:t>
            </w:r>
          </w:p>
          <w:p w14:paraId="3033712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Implementing countries are required to disclose the following information related to the award or transfer of licenses about the companies covered in the EITI Report during the accounting period covered by the EITI Report: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a description of the process for transferring or awarding the license; ii. the technical and financial criteria used; iii. information about the recipient(s) of the license that has been transferred or awarded, including consortium members where applicable; and iv. any non-trivial deviations from the applicable legal and regulatory </w:t>
            </w:r>
            <w:r w:rsidRPr="00B64E68">
              <w:rPr>
                <w:rFonts w:ascii="Times New Roman" w:eastAsia="Calibri" w:hAnsi="Times New Roman" w:cs="Times New Roman"/>
                <w:sz w:val="24"/>
                <w:szCs w:val="24"/>
              </w:rPr>
              <w:lastRenderedPageBreak/>
              <w:t>framework governing license transfers and awards.  It is required that the information set out above is disclosed for all license awards and transfers during the accounting year covered by the EITI Report, including license allocations about companies that are not included in the EITI Report, i.e., where their payments fall below the agreed materiality threshold. Any significant legal or practical barriers preventing such comprehensive disclosure should be documented and explained in the EITI Report, including an account of government plans for overcoming such barriers and the anticipated timescale for achieving them.</w:t>
            </w:r>
          </w:p>
          <w:p w14:paraId="4088EFB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060ED56"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b) Where companies covered in the EITI Report hold licenses allocated before the accounting period of the EITI Report, implementing countries are encouraged, if feasible, to disclose the information set out in 2.2(a) for these licenses. </w:t>
            </w:r>
          </w:p>
          <w:p w14:paraId="017DDC6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547C2A70"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c) Where licenses are awarded through a bidding process during the accounting period covered by the EITI Report, the government is required to disclose the list of applicants and the bid criteria. </w:t>
            </w:r>
          </w:p>
          <w:p w14:paraId="3A74E32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13C2E8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d) Where the requisite information set out in 2.2(a-c) is already publicly available, including a reference or link in the EITI Report is sufficient. </w:t>
            </w:r>
          </w:p>
          <w:p w14:paraId="6CD1000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8FBCFD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e) The multi-stakeholder group may wish to include additional information on the allocation of licenses in the EITI Report, </w:t>
            </w:r>
            <w:r w:rsidRPr="00B64E68">
              <w:rPr>
                <w:rFonts w:ascii="Times New Roman" w:eastAsia="Calibri" w:hAnsi="Times New Roman" w:cs="Times New Roman"/>
                <w:sz w:val="24"/>
                <w:szCs w:val="24"/>
              </w:rPr>
              <w:lastRenderedPageBreak/>
              <w:t>including commentary on the efficiency and effectiveness of licensing procedures.</w:t>
            </w:r>
          </w:p>
          <w:p w14:paraId="5F61FC5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4D1B8CFF" w14:textId="77777777" w:rsidR="00423D65" w:rsidRPr="00B64E68" w:rsidRDefault="00423D65" w:rsidP="0057476A">
            <w:pPr>
              <w:tabs>
                <w:tab w:val="left" w:pos="285"/>
              </w:tabs>
              <w:spacing w:after="80"/>
              <w:jc w:val="both"/>
              <w:rPr>
                <w:rFonts w:ascii="Times New Roman" w:eastAsia="Calibri" w:hAnsi="Times New Roman" w:cs="Times New Roman"/>
                <w:sz w:val="24"/>
                <w:szCs w:val="24"/>
                <w:u w:val="single"/>
              </w:rPr>
            </w:pPr>
            <w:r w:rsidRPr="00B64E68">
              <w:rPr>
                <w:rFonts w:ascii="Times New Roman" w:eastAsia="Calibri" w:hAnsi="Times New Roman" w:cs="Times New Roman"/>
                <w:sz w:val="24"/>
                <w:szCs w:val="24"/>
                <w:u w:val="single"/>
              </w:rPr>
              <w:t>Requirement (2.3)</w:t>
            </w:r>
          </w:p>
          <w:p w14:paraId="34FCED3A"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Register of licenses. </w:t>
            </w:r>
          </w:p>
          <w:p w14:paraId="662594B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a) The term license in this context refers to any license, lease, title, permit contract or concession by which the government confers on a company(</w:t>
            </w:r>
            <w:proofErr w:type="spellStart"/>
            <w:r w:rsidRPr="00B64E68">
              <w:rPr>
                <w:rFonts w:ascii="Times New Roman" w:eastAsia="Calibri" w:hAnsi="Times New Roman" w:cs="Times New Roman"/>
                <w:sz w:val="24"/>
                <w:szCs w:val="24"/>
              </w:rPr>
              <w:t>ies</w:t>
            </w:r>
            <w:proofErr w:type="spellEnd"/>
            <w:r w:rsidRPr="00B64E68">
              <w:rPr>
                <w:rFonts w:ascii="Times New Roman" w:eastAsia="Calibri" w:hAnsi="Times New Roman" w:cs="Times New Roman"/>
                <w:sz w:val="24"/>
                <w:szCs w:val="24"/>
              </w:rPr>
              <w:t xml:space="preserve">) or individual(s) rights to explore or exploit oil, gas, and/or mineral resources. </w:t>
            </w:r>
          </w:p>
          <w:p w14:paraId="4AC66D9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9664C0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b) Implementing countries are required to maintain a publicly available register or </w:t>
            </w:r>
            <w:proofErr w:type="spellStart"/>
            <w:r w:rsidRPr="00B64E68">
              <w:rPr>
                <w:rFonts w:ascii="Times New Roman" w:eastAsia="Calibri" w:hAnsi="Times New Roman" w:cs="Times New Roman"/>
                <w:sz w:val="24"/>
                <w:szCs w:val="24"/>
              </w:rPr>
              <w:t>cadastre</w:t>
            </w:r>
            <w:proofErr w:type="spellEnd"/>
            <w:r w:rsidRPr="00B64E68">
              <w:rPr>
                <w:rFonts w:ascii="Times New Roman" w:eastAsia="Calibri" w:hAnsi="Times New Roman" w:cs="Times New Roman"/>
                <w:sz w:val="24"/>
                <w:szCs w:val="24"/>
              </w:rPr>
              <w:t xml:space="preserve"> system(s) with the following timely and comprehensive information regarding each of the licenses about companies covered in the EITI Report: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License holder(s). ii. Where collated, coordinates of the license area. Where coordinates are not collated, the government must ensure that the license area's size and location are disclosed in the license register and that the coordinates are publicly available from the relevant government agency without unreasonable fees and restrictions. The EITI Report should include guidance on accessing the coordinates and the data's cost if any. The EITI Report should also document plans and timelines for making this information freely and electronically available through the license register. iii. Date of application, date of award, and duration of the license. iv. In the case of production licenses, the commodity is produced. It is expected that the license </w:t>
            </w:r>
            <w:proofErr w:type="gramStart"/>
            <w:r w:rsidRPr="00B64E68">
              <w:rPr>
                <w:rFonts w:ascii="Times New Roman" w:eastAsia="Calibri" w:hAnsi="Times New Roman" w:cs="Times New Roman"/>
                <w:sz w:val="24"/>
                <w:szCs w:val="24"/>
              </w:rPr>
              <w:t>register</w:t>
            </w:r>
            <w:proofErr w:type="gramEnd"/>
            <w:r w:rsidRPr="00B64E68">
              <w:rPr>
                <w:rFonts w:ascii="Times New Roman" w:eastAsia="Calibri" w:hAnsi="Times New Roman" w:cs="Times New Roman"/>
                <w:sz w:val="24"/>
                <w:szCs w:val="24"/>
              </w:rPr>
              <w:t xml:space="preserve"> or </w:t>
            </w:r>
            <w:proofErr w:type="spellStart"/>
            <w:r w:rsidRPr="00B64E68">
              <w:rPr>
                <w:rFonts w:ascii="Times New Roman" w:eastAsia="Calibri" w:hAnsi="Times New Roman" w:cs="Times New Roman"/>
                <w:sz w:val="24"/>
                <w:szCs w:val="24"/>
              </w:rPr>
              <w:t>cadastre</w:t>
            </w:r>
            <w:proofErr w:type="spellEnd"/>
            <w:r w:rsidRPr="00B64E68">
              <w:rPr>
                <w:rFonts w:ascii="Times New Roman" w:eastAsia="Calibri" w:hAnsi="Times New Roman" w:cs="Times New Roman"/>
                <w:sz w:val="24"/>
                <w:szCs w:val="24"/>
              </w:rPr>
              <w:t xml:space="preserve"> includes information about licenses held by all entities, including companies and individuals or groups that are not included in the EITI Report, i.e., where their payments fall below the agreed </w:t>
            </w:r>
            <w:r w:rsidRPr="00B64E68">
              <w:rPr>
                <w:rFonts w:ascii="Times New Roman" w:eastAsia="Calibri" w:hAnsi="Times New Roman" w:cs="Times New Roman"/>
                <w:sz w:val="24"/>
                <w:szCs w:val="24"/>
              </w:rPr>
              <w:lastRenderedPageBreak/>
              <w:t>materiality threshold. Any significant legal or practical barriers preventing such comprehensive disclosure should be documented and explained in the EITI Report, including an account of government plans for seeking to overcome such barriers and the anticipated timescale for achieving them.</w:t>
            </w:r>
          </w:p>
          <w:p w14:paraId="247EDDFE"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217170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c) Where the information set out in 2.3.b is already publicly available, it is sufficient to include a reference or link in the EITI Report. Where such registers or </w:t>
            </w:r>
            <w:proofErr w:type="spellStart"/>
            <w:r w:rsidRPr="00B64E68">
              <w:rPr>
                <w:rFonts w:ascii="Times New Roman" w:eastAsia="Calibri" w:hAnsi="Times New Roman" w:cs="Times New Roman"/>
                <w:sz w:val="24"/>
                <w:szCs w:val="24"/>
              </w:rPr>
              <w:t>cadastres</w:t>
            </w:r>
            <w:proofErr w:type="spellEnd"/>
            <w:r w:rsidRPr="00B64E68">
              <w:rPr>
                <w:rFonts w:ascii="Times New Roman" w:eastAsia="Calibri" w:hAnsi="Times New Roman" w:cs="Times New Roman"/>
                <w:sz w:val="24"/>
                <w:szCs w:val="24"/>
              </w:rPr>
              <w:t xml:space="preserve"> do not exist or are incomplete, the EITI Report should disclose any gaps in the publicly available information and document efforts to strengthen these systems. In the interim, the EITI Report should include the information in 2.3.b above.</w:t>
            </w:r>
          </w:p>
          <w:p w14:paraId="3ADAC1B4" w14:textId="77777777" w:rsidR="00423D65" w:rsidRDefault="00423D65" w:rsidP="0057476A">
            <w:pPr>
              <w:tabs>
                <w:tab w:val="left" w:pos="285"/>
              </w:tabs>
              <w:spacing w:after="80"/>
              <w:jc w:val="both"/>
              <w:rPr>
                <w:rFonts w:ascii="Times New Roman" w:eastAsia="Calibri" w:hAnsi="Times New Roman" w:cs="Times New Roman"/>
                <w:sz w:val="24"/>
                <w:szCs w:val="24"/>
              </w:rPr>
            </w:pPr>
          </w:p>
          <w:p w14:paraId="56754D59" w14:textId="77777777" w:rsidR="000F19DE" w:rsidRPr="00B64E68" w:rsidRDefault="000F19DE" w:rsidP="0057476A">
            <w:pPr>
              <w:tabs>
                <w:tab w:val="left" w:pos="285"/>
              </w:tabs>
              <w:spacing w:after="80"/>
              <w:jc w:val="both"/>
              <w:rPr>
                <w:rFonts w:ascii="Times New Roman" w:eastAsia="Calibri" w:hAnsi="Times New Roman" w:cs="Times New Roman"/>
                <w:sz w:val="24"/>
                <w:szCs w:val="24"/>
              </w:rPr>
            </w:pPr>
          </w:p>
          <w:p w14:paraId="7545FAA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Requirement (2.4)</w:t>
            </w:r>
          </w:p>
          <w:p w14:paraId="18AD672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Contracts. </w:t>
            </w:r>
          </w:p>
          <w:p w14:paraId="4F5A3913"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Implementing countries are encouraged to publicly disclose any contracts and licenses that provide the terms attached to the exploitation of oil, gas, and minerals. b) It is required that the EITI Report documents the government’s policy on disclosing contracts and licenses governing oil, gas, and minerals exploration and exploitation. This should include relevant legal provisions, actual disclosure practices, and any planned or underway reforms. Where applicable, the EITI Report should provide an overview of the contracts and licenses that are publicly available and include a reference or link to the location where these are published. c) The term contract in 2.4(a) means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The full text of any contract, concession, production-sharing </w:t>
            </w:r>
            <w:r w:rsidRPr="00B64E68">
              <w:rPr>
                <w:rFonts w:ascii="Times New Roman" w:eastAsia="Calibri" w:hAnsi="Times New Roman" w:cs="Times New Roman"/>
                <w:sz w:val="24"/>
                <w:szCs w:val="24"/>
              </w:rPr>
              <w:lastRenderedPageBreak/>
              <w:t>agreement or other agreement is granted or entered into. The government provides the terms for exploiting oil, gas, and mineral resources. ii. The full text of any annex, appendix, or rider establishes details relevant to the exploitation rights described in 2.4(c)(</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or execution. iii. The full text of any alteration or amendment to the documents described in 2.4(c)(</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and 2.4(c)(ii). d) The term license in 2.4(a) means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The full text of any license, lease, title, or permit by which a government confers on a company (</w:t>
            </w:r>
            <w:proofErr w:type="spellStart"/>
            <w:r w:rsidRPr="00B64E68">
              <w:rPr>
                <w:rFonts w:ascii="Times New Roman" w:eastAsia="Calibri" w:hAnsi="Times New Roman" w:cs="Times New Roman"/>
                <w:sz w:val="24"/>
                <w:szCs w:val="24"/>
              </w:rPr>
              <w:t>ies</w:t>
            </w:r>
            <w:proofErr w:type="spellEnd"/>
            <w:r w:rsidRPr="00B64E68">
              <w:rPr>
                <w:rFonts w:ascii="Times New Roman" w:eastAsia="Calibri" w:hAnsi="Times New Roman" w:cs="Times New Roman"/>
                <w:sz w:val="24"/>
                <w:szCs w:val="24"/>
              </w:rPr>
              <w:t>) or individual(s) rights to exploit oil, gas, and/or mineral resources. ii. The full text of any annex, appendix, or rider establishes details relevant to the exploitation rights described in 2.4(d)(</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or execution. ii. The full text of any alteration or amendment to the documents described in 2.4(d)(</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and 2.4(d)(ii).</w:t>
            </w:r>
          </w:p>
          <w:p w14:paraId="534C70CF"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3690860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17353D2"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u w:val="single"/>
              </w:rPr>
              <w:t>Requirement (2.5)</w:t>
            </w:r>
          </w:p>
          <w:p w14:paraId="20639AD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Beneficial ownership. a) It is recommended that implementing countries maintain a publicly available register of the beneficial owners of the corporate entity (</w:t>
            </w:r>
            <w:proofErr w:type="spellStart"/>
            <w:r w:rsidRPr="00B64E68">
              <w:rPr>
                <w:rFonts w:ascii="Times New Roman" w:eastAsia="Calibri" w:hAnsi="Times New Roman" w:cs="Times New Roman"/>
                <w:sz w:val="24"/>
                <w:szCs w:val="24"/>
              </w:rPr>
              <w:t>ies</w:t>
            </w:r>
            <w:proofErr w:type="spellEnd"/>
            <w:r w:rsidRPr="00B64E68">
              <w:rPr>
                <w:rFonts w:ascii="Times New Roman" w:eastAsia="Calibri" w:hAnsi="Times New Roman" w:cs="Times New Roman"/>
                <w:sz w:val="24"/>
                <w:szCs w:val="24"/>
              </w:rPr>
              <w:t>) that bid for, operate, or invest in extractive assets, including the identity (</w:t>
            </w:r>
            <w:proofErr w:type="spellStart"/>
            <w:r w:rsidRPr="00B64E68">
              <w:rPr>
                <w:rFonts w:ascii="Times New Roman" w:eastAsia="Calibri" w:hAnsi="Times New Roman" w:cs="Times New Roman"/>
                <w:sz w:val="24"/>
                <w:szCs w:val="24"/>
              </w:rPr>
              <w:t>ies</w:t>
            </w:r>
            <w:proofErr w:type="spellEnd"/>
            <w:r w:rsidRPr="00B64E68">
              <w:rPr>
                <w:rFonts w:ascii="Times New Roman" w:eastAsia="Calibri" w:hAnsi="Times New Roman" w:cs="Times New Roman"/>
                <w:sz w:val="24"/>
                <w:szCs w:val="24"/>
              </w:rPr>
              <w:t>) of their beneficial owner(s), the level of ownership and details about how ownership or control is exerted. Where possible, beneficial ownership information should be incorporated in existing filings by companies to corporate regulators, stock exchanges, or agencies regulating extractive industry licensing. Where this information is already publicly available, the EITI Report should include guidance on how to access this information</w:t>
            </w:r>
          </w:p>
          <w:p w14:paraId="28383E77"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10C12796" w14:textId="4467EB81"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b) It is required that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The EITI Report documents the government’s policy and MSG’s discussion on beneficial ownership disclosure. This should include details of the relevant legal provisions, actual disclosure practices, and any planned or underway reforms related to beneficial ownership disclosure. ii. By 1 January 2017, the multi-stakeholder group publishes a roadmap for disclosing beneficial ownership information under clauses (c)-(f) below. The MSG will determine all milestones and deadlines in the roadmap, and the MSG will evaluate the implementation of the roadmap as part of the MSG’s annual activity report. c) As of 1 January 2020, it is required that implementing countries request and companies disclose beneficial ownership information for inclusion in the EITI report. This applies to a corporate entity (</w:t>
            </w:r>
            <w:proofErr w:type="spellStart"/>
            <w:r w:rsidRPr="00B64E68">
              <w:rPr>
                <w:rFonts w:ascii="Times New Roman" w:eastAsia="Calibri" w:hAnsi="Times New Roman" w:cs="Times New Roman"/>
                <w:sz w:val="24"/>
                <w:szCs w:val="24"/>
              </w:rPr>
              <w:t>ies</w:t>
            </w:r>
            <w:proofErr w:type="spellEnd"/>
            <w:r w:rsidRPr="00B64E68">
              <w:rPr>
                <w:rFonts w:ascii="Times New Roman" w:eastAsia="Calibri" w:hAnsi="Times New Roman" w:cs="Times New Roman"/>
                <w:sz w:val="24"/>
                <w:szCs w:val="24"/>
              </w:rPr>
              <w:t>) that bid for, operate, or invest in extractive assets and should include the identity(</w:t>
            </w:r>
            <w:proofErr w:type="spellStart"/>
            <w:r w:rsidRPr="00B64E68">
              <w:rPr>
                <w:rFonts w:ascii="Times New Roman" w:eastAsia="Calibri" w:hAnsi="Times New Roman" w:cs="Times New Roman"/>
                <w:sz w:val="24"/>
                <w:szCs w:val="24"/>
              </w:rPr>
              <w:t>ies</w:t>
            </w:r>
            <w:proofErr w:type="spellEnd"/>
            <w:r w:rsidRPr="00B64E68">
              <w:rPr>
                <w:rFonts w:ascii="Times New Roman" w:eastAsia="Calibri" w:hAnsi="Times New Roman" w:cs="Times New Roman"/>
                <w:sz w:val="24"/>
                <w:szCs w:val="24"/>
              </w:rPr>
              <w:t xml:space="preserve">) of their beneficial owner(s), the level of ownership, and details about how ownership or control is exerted. Any gaps or weaknesses in reporting on beneficial ownership information must be disclosed in the EITI Report, including naming entities that failed to submit all or parts of the beneficial ownership information. A country facing constitutional or significant practical barriers to implementing this requirement by 1 January 2020 may seek adapted implementation under requirement d) Information about the beneficial owner's identity should include the beneficial owner's name, nationality, country of residence, and identifying any politically exposed persons. It is also recommended that the national identity number, date of birth, residential or service address, and means of contact are disclosed. e) The multi-stakeholder </w:t>
            </w:r>
            <w:r w:rsidRPr="00B64E68">
              <w:rPr>
                <w:rFonts w:ascii="Times New Roman" w:eastAsia="Calibri" w:hAnsi="Times New Roman" w:cs="Times New Roman"/>
                <w:sz w:val="24"/>
                <w:szCs w:val="24"/>
              </w:rPr>
              <w:lastRenderedPageBreak/>
              <w:t xml:space="preserve">group should agree on an approach for participating companies assuring the accuracy of the beneficial ownership information they provide. This could include requiring companies to attest to the beneficial ownership declaration form through sign-off by a member of the senior management team or senior legal counsel or submit supporting documentation. f) Definition of beneficial ownership: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A beneficial owner in a company means the natural person(s) who directly or indirectly ultimately owns or controls the corporate entity. ii. The multi-stakeholder group should agree on an appropriate definition of the beneficial owner. The definition should be aligned with (f)(</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above and take international norms and relevant national laws into account, and should include ownership threshold(s). The definition should also specify reporting obligations for politically exposed persons. iii. Publicly listed companies, including wholly-owned subsidiaries, are required to disclose the stock exchange name and include a link to the stock exchange filings where they are listed. iv. In the case of joint ventures, each entity within the venture should disclose its beneficial owner(s) unless it is publicly listed or is a wholly-owned subsidiary of a publicly listed company. Each entity is responsible for the accuracy of the information provided. g)  The EITI Report should also disclose such companies' legal owners and share of ownership.</w:t>
            </w:r>
          </w:p>
          <w:p w14:paraId="5D185C7D"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0AA10DB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u w:val="single"/>
              </w:rPr>
              <w:t>Requirement (2.6)</w:t>
            </w:r>
            <w:r w:rsidRPr="00B64E68">
              <w:rPr>
                <w:rFonts w:ascii="Times New Roman" w:eastAsia="Calibri" w:hAnsi="Times New Roman" w:cs="Times New Roman"/>
                <w:sz w:val="24"/>
                <w:szCs w:val="24"/>
              </w:rPr>
              <w:t xml:space="preserve"> </w:t>
            </w:r>
          </w:p>
          <w:p w14:paraId="5F96F07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State participation. Where state participation in the extractive industries gives rise to material revenue payments, implementing countries must disclose: a) An explanation of the prevailing rules and practices regarding the </w:t>
            </w:r>
            <w:r w:rsidRPr="00B64E68">
              <w:rPr>
                <w:rFonts w:ascii="Times New Roman" w:eastAsia="Calibri" w:hAnsi="Times New Roman" w:cs="Times New Roman"/>
                <w:sz w:val="24"/>
                <w:szCs w:val="24"/>
              </w:rPr>
              <w:lastRenderedPageBreak/>
              <w:t>financial relationship between the government and state-owned enterprises (SOEs), e.g., the rules and practices governing transfers of funds between the SOE(s) and the state, retained earnings, reinvestment, and third-party financing.  For EITI reporting, an SOE is a wholly or majority government-owned company engaged in extractive activities on behalf of the government. Based on this, the MSGs are encouraged to discuss and document their definition of SOEs, taking national laws and government structures into account. b) Disclosures from the government and SOE(s) of their level of ownership in mining, oil, and gas companies operating within the country’s oil, gas, and mining sector, including those held by SOE subsidiaries and joint ventures and any changes in the level of ownership during the reporting period.  This information should include details regarding the terms attached to their equity stake, including their responsibility to cover expenses at various phases of the project cycle, e.g., full-paid equity, free equity, and carried interest. Where there have been government and SOE(s) ownership level changes during the EITI reporting period, the government and SOE(s) are expected to disclose the transaction terms, including details regarding valuation and revenues. Where the government and SOE(s) have provided loans or loan guarantees to mining, oil, and gas companies operating within the country, details on these transactions should be disclosed</w:t>
            </w:r>
          </w:p>
          <w:p w14:paraId="3C9371F9"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F88438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2992BB34"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D247FCC"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7C47A101"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p w14:paraId="62F892C8" w14:textId="77777777" w:rsidR="00423D65" w:rsidRPr="00B64E68" w:rsidRDefault="00423D65" w:rsidP="0057476A">
            <w:pPr>
              <w:tabs>
                <w:tab w:val="left" w:pos="285"/>
              </w:tabs>
              <w:spacing w:after="80"/>
              <w:jc w:val="both"/>
              <w:rPr>
                <w:rFonts w:ascii="Times New Roman" w:eastAsia="Calibri" w:hAnsi="Times New Roman" w:cs="Times New Roman"/>
                <w:sz w:val="24"/>
                <w:szCs w:val="24"/>
              </w:rPr>
            </w:pPr>
          </w:p>
        </w:tc>
        <w:tc>
          <w:tcPr>
            <w:tcW w:w="4788" w:type="dxa"/>
          </w:tcPr>
          <w:p w14:paraId="7523E063" w14:textId="77777777" w:rsidR="00423D65" w:rsidRPr="00B64E68" w:rsidRDefault="00423D65" w:rsidP="0057476A">
            <w:pPr>
              <w:spacing w:after="80"/>
              <w:jc w:val="both"/>
              <w:rPr>
                <w:rFonts w:ascii="Times New Roman" w:eastAsia="Calibri" w:hAnsi="Times New Roman" w:cs="Times New Roman"/>
                <w:sz w:val="24"/>
                <w:szCs w:val="24"/>
              </w:rPr>
            </w:pPr>
          </w:p>
          <w:p w14:paraId="7C643F15" w14:textId="77777777" w:rsidR="00423D65" w:rsidRPr="00B64E68" w:rsidRDefault="00423D65" w:rsidP="0057476A">
            <w:pPr>
              <w:spacing w:after="80"/>
              <w:jc w:val="both"/>
              <w:rPr>
                <w:rFonts w:ascii="Times New Roman" w:eastAsia="Calibri" w:hAnsi="Times New Roman" w:cs="Times New Roman"/>
                <w:sz w:val="24"/>
                <w:szCs w:val="24"/>
              </w:rPr>
            </w:pPr>
          </w:p>
          <w:p w14:paraId="2CD4F20E" w14:textId="77777777" w:rsidR="00423D65" w:rsidRPr="00B64E68" w:rsidRDefault="00423D65" w:rsidP="0057476A">
            <w:pPr>
              <w:spacing w:after="80"/>
              <w:jc w:val="both"/>
              <w:rPr>
                <w:rFonts w:ascii="Times New Roman" w:eastAsia="Calibri" w:hAnsi="Times New Roman" w:cs="Times New Roman"/>
                <w:sz w:val="24"/>
                <w:szCs w:val="24"/>
              </w:rPr>
            </w:pPr>
          </w:p>
          <w:p w14:paraId="0056CC72" w14:textId="77777777" w:rsidR="00423D65" w:rsidRPr="00B64E68" w:rsidRDefault="00423D65" w:rsidP="0057476A">
            <w:pPr>
              <w:spacing w:after="80"/>
              <w:jc w:val="both"/>
              <w:rPr>
                <w:rFonts w:ascii="Times New Roman" w:eastAsia="Calibri" w:hAnsi="Times New Roman" w:cs="Times New Roman"/>
                <w:sz w:val="24"/>
                <w:szCs w:val="24"/>
              </w:rPr>
            </w:pPr>
          </w:p>
          <w:p w14:paraId="1CEDDE39"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Legal Framework (Mining Sector)</w:t>
            </w:r>
          </w:p>
          <w:p w14:paraId="6C72FC02"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Ministry of Mines and Energy (MME) is the Government Agency responsible for administering the mineral sector, including granting mining licenses, and it has statutory oversight of the energy, land, minerals, and water sectors. The minerals sector is regulated by the Mining and Minerals Law of 2000. The Minerals Policy of Liberia was created in March 2010 to complement the Mining and Minerals Law. The document outlines the </w:t>
            </w:r>
            <w:r w:rsidRPr="00B64E68">
              <w:rPr>
                <w:rFonts w:ascii="Times New Roman" w:eastAsia="Calibri" w:hAnsi="Times New Roman" w:cs="Times New Roman"/>
                <w:sz w:val="24"/>
                <w:szCs w:val="24"/>
              </w:rPr>
              <w:lastRenderedPageBreak/>
              <w:t xml:space="preserve">Government’s expectations concerning the contributions of all stakeholders in the sustainable development of Liberia’s mineral resources. These laws are under review. </w:t>
            </w:r>
          </w:p>
          <w:p w14:paraId="123AD603"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Exports and rough diamonds are overseen by the Government Diamond Office (GDO) within MLME and the Bureau of Customs.</w:t>
            </w:r>
          </w:p>
          <w:p w14:paraId="7630D92C" w14:textId="77777777" w:rsidR="00423D65" w:rsidRPr="00B64E68" w:rsidRDefault="00423D65" w:rsidP="0057476A">
            <w:pPr>
              <w:spacing w:after="80"/>
              <w:jc w:val="both"/>
              <w:rPr>
                <w:rFonts w:ascii="Times New Roman" w:eastAsia="Calibri" w:hAnsi="Times New Roman" w:cs="Times New Roman"/>
                <w:sz w:val="24"/>
                <w:szCs w:val="24"/>
              </w:rPr>
            </w:pPr>
          </w:p>
          <w:p w14:paraId="4B087401" w14:textId="77777777" w:rsidR="00423D65" w:rsidRPr="00B64E68" w:rsidRDefault="00423D65" w:rsidP="0057476A">
            <w:pPr>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Fiscal Regime (Mining Sector)</w:t>
            </w:r>
          </w:p>
          <w:p w14:paraId="1E57307E"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fiscal regime specific to mining companies is set out in the Liberia Revenue Code (LRC) from sections 701 to 739. The central taxes paid by a mining company are a tax on taxable income (30%), royalties (Iron ore. 4.5% | Gold and other base metals. 3% | Commercial diamonds. 5 %.), and surface rent ((A) Land within a mineral exploration license area: USD 0.20 per acre. (B) Land within mining license </w:t>
            </w:r>
            <w:proofErr w:type="gramStart"/>
            <w:r w:rsidRPr="00B64E68">
              <w:rPr>
                <w:rFonts w:ascii="Times New Roman" w:eastAsia="Calibri" w:hAnsi="Times New Roman" w:cs="Times New Roman"/>
                <w:sz w:val="24"/>
                <w:szCs w:val="24"/>
              </w:rPr>
              <w:t>are</w:t>
            </w:r>
            <w:proofErr w:type="gramEnd"/>
            <w:r w:rsidRPr="00B64E68">
              <w:rPr>
                <w:rFonts w:ascii="Times New Roman" w:eastAsia="Calibri" w:hAnsi="Times New Roman" w:cs="Times New Roman"/>
                <w:sz w:val="24"/>
                <w:szCs w:val="24"/>
              </w:rPr>
              <w:t xml:space="preserve">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Year 1-10 USD 5.00 per acre (ii) Year 11-25 USD 10.00 per acre).</w:t>
            </w:r>
          </w:p>
          <w:p w14:paraId="11EC1B5B" w14:textId="77777777" w:rsidR="00423D65" w:rsidRPr="00B64E68" w:rsidRDefault="00423D65" w:rsidP="0057476A">
            <w:pPr>
              <w:jc w:val="both"/>
              <w:rPr>
                <w:rFonts w:ascii="Times New Roman" w:eastAsia="Calibri" w:hAnsi="Times New Roman" w:cs="Times New Roman"/>
                <w:sz w:val="24"/>
                <w:szCs w:val="24"/>
              </w:rPr>
            </w:pPr>
          </w:p>
          <w:p w14:paraId="29E233C6" w14:textId="77777777" w:rsidR="00423D65" w:rsidRPr="00B64E68" w:rsidRDefault="00423D65" w:rsidP="0057476A">
            <w:pPr>
              <w:jc w:val="both"/>
              <w:rPr>
                <w:rFonts w:ascii="Times New Roman" w:eastAsia="Calibri" w:hAnsi="Times New Roman" w:cs="Times New Roman"/>
                <w:sz w:val="24"/>
                <w:szCs w:val="24"/>
              </w:rPr>
            </w:pPr>
          </w:p>
          <w:p w14:paraId="65E8F1DE"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Legal Framework (Oil and Gas Industry)</w:t>
            </w:r>
          </w:p>
          <w:p w14:paraId="3493C1AB" w14:textId="77777777" w:rsidR="00423D65" w:rsidRPr="00B64E68" w:rsidRDefault="00423D65" w:rsidP="0057476A">
            <w:pPr>
              <w:jc w:val="both"/>
              <w:rPr>
                <w:rFonts w:ascii="Times New Roman" w:eastAsia="Calibri" w:hAnsi="Times New Roman" w:cs="Times New Roman"/>
                <w:sz w:val="24"/>
                <w:szCs w:val="24"/>
              </w:rPr>
            </w:pPr>
            <w:r w:rsidRPr="00B64E68">
              <w:rPr>
                <w:rFonts w:ascii="Times New Roman" w:eastAsia="Calibri" w:hAnsi="Times New Roman" w:cs="Times New Roman"/>
                <w:b/>
                <w:sz w:val="24"/>
                <w:szCs w:val="24"/>
              </w:rPr>
              <w:t>Current Legal framework</w:t>
            </w:r>
            <w:r w:rsidRPr="00B64E68">
              <w:rPr>
                <w:rFonts w:ascii="Times New Roman" w:eastAsia="Calibri" w:hAnsi="Times New Roman" w:cs="Times New Roman"/>
                <w:sz w:val="24"/>
                <w:szCs w:val="24"/>
              </w:rPr>
              <w:t xml:space="preserve"> (12</w:t>
            </w:r>
            <w:r w:rsidRPr="00B64E68">
              <w:rPr>
                <w:rFonts w:ascii="Times New Roman" w:eastAsia="Calibri" w:hAnsi="Times New Roman" w:cs="Times New Roman"/>
                <w:sz w:val="24"/>
                <w:szCs w:val="24"/>
                <w:vertAlign w:val="superscript"/>
              </w:rPr>
              <w:t>th</w:t>
            </w:r>
            <w:r w:rsidRPr="00B64E68">
              <w:rPr>
                <w:rFonts w:ascii="Times New Roman" w:eastAsia="Calibri" w:hAnsi="Times New Roman" w:cs="Times New Roman"/>
                <w:sz w:val="24"/>
                <w:szCs w:val="24"/>
              </w:rPr>
              <w:t xml:space="preserve"> report page 44)</w:t>
            </w:r>
            <w:r w:rsidRPr="00B64E68">
              <w:rPr>
                <w:rFonts w:ascii="Times New Roman" w:eastAsia="Calibri" w:hAnsi="Times New Roman" w:cs="Times New Roman"/>
                <w:sz w:val="24"/>
                <w:szCs w:val="24"/>
              </w:rPr>
              <w:br/>
              <w:t>The central legislation governing oil &amp; gas exploration and production activities in Liberia:</w:t>
            </w:r>
            <w:r w:rsidRPr="00B64E68">
              <w:rPr>
                <w:rFonts w:ascii="Times New Roman" w:eastAsia="Calibri" w:hAnsi="Times New Roman" w:cs="Times New Roman"/>
                <w:sz w:val="24"/>
                <w:szCs w:val="24"/>
              </w:rPr>
              <w:br/>
              <w:t>- New Petroleum Law of Liberia, 2014 (adopted 05 October 2016)11;</w:t>
            </w:r>
            <w:r w:rsidRPr="00B64E68">
              <w:rPr>
                <w:rFonts w:ascii="Times New Roman" w:eastAsia="Calibri" w:hAnsi="Times New Roman" w:cs="Times New Roman"/>
                <w:sz w:val="24"/>
                <w:szCs w:val="24"/>
              </w:rPr>
              <w:br/>
              <w:t>- National petroleum policy 201212; and</w:t>
            </w:r>
            <w:r w:rsidRPr="00B64E68">
              <w:rPr>
                <w:rFonts w:ascii="Times New Roman" w:eastAsia="Calibri" w:hAnsi="Times New Roman" w:cs="Times New Roman"/>
                <w:sz w:val="24"/>
                <w:szCs w:val="24"/>
              </w:rPr>
              <w:br/>
              <w:t>- National Oil Company of Liberia Act 2014,</w:t>
            </w:r>
            <w:r w:rsidRPr="00B64E68">
              <w:rPr>
                <w:rFonts w:ascii="Times New Roman" w:eastAsia="Calibri" w:hAnsi="Times New Roman" w:cs="Times New Roman"/>
                <w:sz w:val="24"/>
                <w:szCs w:val="24"/>
              </w:rPr>
              <w:br/>
              <w:t xml:space="preserve">According to the National petroleum policy, 2012, the Government of Liberia shall adhere to the principles and procedures of the Liberia Extractive Industry Transparency Initiative (LEITI). It shall comply with reporting and </w:t>
            </w:r>
            <w:r w:rsidRPr="00B64E68">
              <w:rPr>
                <w:rFonts w:ascii="Times New Roman" w:eastAsia="Calibri" w:hAnsi="Times New Roman" w:cs="Times New Roman"/>
                <w:sz w:val="24"/>
                <w:szCs w:val="24"/>
              </w:rPr>
              <w:lastRenderedPageBreak/>
              <w:t>other requirements of this initiative and further transparency and accountability initiatives undertaken by the Government. The principles of LEITI applicable to the petroleum sector include others, disaggregated reporting on all material payments, requiring all petroleum companies to join LEITI, conducting reconciliations of company payments and Government receipts, and publishing contracts, concessions licenses, and audit reports. According to article 43 of the Petroleum (Exploration and Production) Reform Law of Liberia 2014, contractors shall engage in and comply with the requirements of LEITI under the LEITI Act and the directives and guidelines approved by the LEITI Multi-stakeholder Steering Group (MSG). In particular, a contractor shall disclose to the LEITI reconcilers on an accurate and timely basis and in the required manner all payments made to the State, including any Government Agency and a state-owned company, and shall provide the said reconcilers with such information and documents as they may reasonably require for investigating any discrepancies and preparing the LEITI reports.</w:t>
            </w:r>
          </w:p>
          <w:p w14:paraId="237985CE" w14:textId="77777777" w:rsidR="00423D65" w:rsidRPr="00B64E68" w:rsidRDefault="00423D65" w:rsidP="0057476A">
            <w:pPr>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Fiscal Regime (Oil and Gas)</w:t>
            </w:r>
          </w:p>
          <w:p w14:paraId="080EEAA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fiscal regime specific to the oil &amp; gas sector is set by Liberia's Petroleum (Exploration and Production) Reform Law 20141617. The primary revenue streams paid by oil &amp; gas companies are royalties, surface rentals, bonuses, and exceptional contributions.</w:t>
            </w:r>
          </w:p>
          <w:p w14:paraId="3F4CF910" w14:textId="77777777" w:rsidR="00423D65" w:rsidRPr="00B64E68" w:rsidRDefault="00423D65" w:rsidP="0057476A">
            <w:pPr>
              <w:spacing w:after="80"/>
              <w:jc w:val="both"/>
              <w:rPr>
                <w:rFonts w:ascii="Times New Roman" w:eastAsia="Calibri" w:hAnsi="Times New Roman" w:cs="Times New Roman"/>
                <w:b/>
                <w:sz w:val="24"/>
                <w:szCs w:val="24"/>
                <w:u w:val="single"/>
              </w:rPr>
            </w:pPr>
            <w:r w:rsidRPr="00B64E68">
              <w:rPr>
                <w:rFonts w:ascii="Times New Roman" w:eastAsia="Calibri" w:hAnsi="Times New Roman" w:cs="Times New Roman"/>
                <w:b/>
                <w:sz w:val="24"/>
                <w:szCs w:val="24"/>
                <w:u w:val="single"/>
              </w:rPr>
              <w:t>Legal Framework (Agriculture Sector)</w:t>
            </w:r>
          </w:p>
          <w:p w14:paraId="06FB9FF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Ministry of Agriculture (</w:t>
            </w:r>
            <w:proofErr w:type="spellStart"/>
            <w:r w:rsidRPr="00B64E68">
              <w:rPr>
                <w:rFonts w:ascii="Times New Roman" w:eastAsia="Calibri" w:hAnsi="Times New Roman" w:cs="Times New Roman"/>
                <w:sz w:val="24"/>
                <w:szCs w:val="24"/>
              </w:rPr>
              <w:t>MoA</w:t>
            </w:r>
            <w:proofErr w:type="spellEnd"/>
            <w:r w:rsidRPr="00B64E68">
              <w:rPr>
                <w:rFonts w:ascii="Times New Roman" w:eastAsia="Calibri" w:hAnsi="Times New Roman" w:cs="Times New Roman"/>
                <w:sz w:val="24"/>
                <w:szCs w:val="24"/>
              </w:rPr>
              <w:t xml:space="preserve">) is responsible for the leadership and overall development of the agricultural sector. With agricultural concessions, </w:t>
            </w:r>
            <w:proofErr w:type="spellStart"/>
            <w:r w:rsidRPr="00B64E68">
              <w:rPr>
                <w:rFonts w:ascii="Times New Roman" w:eastAsia="Calibri" w:hAnsi="Times New Roman" w:cs="Times New Roman"/>
                <w:sz w:val="24"/>
                <w:szCs w:val="24"/>
              </w:rPr>
              <w:t>MoA</w:t>
            </w:r>
            <w:proofErr w:type="spellEnd"/>
            <w:r w:rsidRPr="00B64E68">
              <w:rPr>
                <w:rFonts w:ascii="Times New Roman" w:eastAsia="Calibri" w:hAnsi="Times New Roman" w:cs="Times New Roman"/>
                <w:sz w:val="24"/>
                <w:szCs w:val="24"/>
              </w:rPr>
              <w:t xml:space="preserve"> works closely </w:t>
            </w:r>
            <w:r w:rsidRPr="00B64E68">
              <w:rPr>
                <w:rFonts w:ascii="Times New Roman" w:eastAsia="Calibri" w:hAnsi="Times New Roman" w:cs="Times New Roman"/>
                <w:sz w:val="24"/>
                <w:szCs w:val="24"/>
              </w:rPr>
              <w:lastRenderedPageBreak/>
              <w:t>with the National Investment Commission (NIC) to identify investors interested in investing in the sector. Once an investor has been identified, the President of Liberia, at the request of NIC, establishes an Inter-Ministerial Concession Committee (IMCC) to review, negotiate and present a Concession Agreement for approval and signing by the President and ratification by the Honorable Legislature.</w:t>
            </w:r>
          </w:p>
          <w:p w14:paraId="7E34E008" w14:textId="77777777" w:rsidR="00423D65" w:rsidRPr="00B64E68" w:rsidRDefault="00423D65" w:rsidP="0057476A">
            <w:pPr>
              <w:spacing w:after="80"/>
              <w:jc w:val="both"/>
              <w:rPr>
                <w:rFonts w:ascii="Times New Roman" w:eastAsia="Calibri" w:hAnsi="Times New Roman" w:cs="Times New Roman"/>
                <w:sz w:val="24"/>
                <w:szCs w:val="24"/>
              </w:rPr>
            </w:pPr>
          </w:p>
          <w:p w14:paraId="4D83852C"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Fiscal Regime (Agriculture Sector)</w:t>
            </w:r>
          </w:p>
          <w:p w14:paraId="4998C2F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fiscal regime specific for agricultural companies is set out in the LRC from sections 600 to 699. The main taxes paid by an agricultural company are Taxes on Taxable Income (Renewable Resources: 25% and Rice: 15%) and Surface Rental (USD 2 per acre for developed land and USD 1 per acre for undeveloped land, irrespective of the value of the assets contained thereon).</w:t>
            </w:r>
          </w:p>
          <w:p w14:paraId="047CAA12" w14:textId="77777777" w:rsidR="00423D65" w:rsidRPr="00B64E68" w:rsidRDefault="00423D65" w:rsidP="0057476A">
            <w:pPr>
              <w:spacing w:after="80"/>
              <w:jc w:val="both"/>
              <w:rPr>
                <w:rFonts w:ascii="Times New Roman" w:eastAsia="Calibri" w:hAnsi="Times New Roman" w:cs="Times New Roman"/>
                <w:sz w:val="24"/>
                <w:szCs w:val="24"/>
              </w:rPr>
            </w:pPr>
          </w:p>
          <w:p w14:paraId="3D951F53"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Legal Framework (Forestry Sector)</w:t>
            </w:r>
          </w:p>
          <w:p w14:paraId="1CDF8221"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Apart from the Public Procurement and Concession Agreement (PPCA) 2010, specific regulations that apply to the Forestry Sector are • Act creating the Forestry Development Authority (FDA) of 1976; • National Forestry Reform Law of 2006; • Forestry Core Regulations - FDA Ten Core Regulations (effective September 2007); • Act to Establish the Community Rights Law concerning Forest Lands of 2009; • FDA Regulations to the Community Rights Law concerning Forest Lands, July 2011; • Guidelines for Forest Management Planning in Liberia; and • National Forest Management Strategy, 2007.</w:t>
            </w:r>
          </w:p>
          <w:p w14:paraId="458FF0B3" w14:textId="77777777" w:rsidR="00423D65" w:rsidRPr="00B64E68" w:rsidRDefault="00423D65" w:rsidP="0057476A">
            <w:pPr>
              <w:spacing w:after="80"/>
              <w:jc w:val="both"/>
              <w:rPr>
                <w:rFonts w:ascii="Times New Roman" w:eastAsia="Calibri" w:hAnsi="Times New Roman" w:cs="Times New Roman"/>
                <w:sz w:val="24"/>
                <w:szCs w:val="24"/>
              </w:rPr>
            </w:pPr>
          </w:p>
          <w:p w14:paraId="3E11CC28"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Fiscal Regime (Forestry Sector)</w:t>
            </w:r>
          </w:p>
          <w:p w14:paraId="4BD1FF2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The main taxes paid by a forestry company are taxes on taxable income (25%) and Log Export Fees (These are fees associated with the export of logs as a forest product), Area Fee (These are fees associated with the use of Forest Land, including administrative fees and area-based fees tied to the resource licensees.), Forest Product Fee (processed materials) Stumpage Fee (These fixed fees were prescribed by regulations issued by FDA in consultation with the Minister, and assessed by FDA and paid regularly to the Minister for deposit into the account of Government. It is associated with the production, registration, transport, transfer of ownership, use, or export of forest products); Sawmill Permit Fees (Sawmill operators are classified into three (3) categories. Class A, B, and C. Class A operators process 1,500 cubic meters of wood annually and must pay USD 2,500 per annum.  Class B operators are those who process 750 cubic meters of wood. Still, less than 1,500 and are to pay USD 1,000 annually, and class C Operators process less than 750 cubic meters of wood per year and are to pay USD 750 for the permit); Timber Export License Fees (This is a payment made to the government for a short-term forest Resource license issued by the government under section 5.3 of the National Forestry Reform law that allows the license holder to manage a tract of forest land and harvest or use forest products.</w:t>
            </w:r>
          </w:p>
          <w:p w14:paraId="116B56A8" w14:textId="77777777" w:rsidR="00423D65" w:rsidRPr="00B64E68" w:rsidRDefault="00423D65" w:rsidP="0057476A">
            <w:pPr>
              <w:spacing w:after="80"/>
              <w:jc w:val="both"/>
              <w:rPr>
                <w:rFonts w:ascii="Times New Roman" w:eastAsia="Calibri" w:hAnsi="Times New Roman" w:cs="Times New Roman"/>
                <w:sz w:val="24"/>
                <w:szCs w:val="24"/>
              </w:rPr>
            </w:pPr>
          </w:p>
          <w:p w14:paraId="5DE82E64"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Mining Rights Allocation</w:t>
            </w:r>
          </w:p>
          <w:p w14:paraId="2F48977C"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There is a strict requirement that a person shall not prospect for minerals or carry on mining operations or mineral processing operations without the authority of a mining right or mineral processing license granted under the Minerals and Mining Law (2000). The </w:t>
            </w:r>
            <w:r w:rsidRPr="00B64E68">
              <w:rPr>
                <w:rFonts w:ascii="Times New Roman" w:eastAsia="Calibri" w:hAnsi="Times New Roman" w:cs="Times New Roman"/>
                <w:sz w:val="24"/>
                <w:szCs w:val="24"/>
              </w:rPr>
              <w:lastRenderedPageBreak/>
              <w:t>Minister of Mines and Energy ensures that the law and regulations are appropriately administered.</w:t>
            </w:r>
          </w:p>
          <w:p w14:paraId="0EE82BC5" w14:textId="77777777" w:rsidR="00423D65" w:rsidRPr="00B64E68" w:rsidRDefault="00423D65" w:rsidP="0057476A">
            <w:pPr>
              <w:spacing w:after="80"/>
              <w:jc w:val="both"/>
              <w:rPr>
                <w:rFonts w:ascii="Times New Roman" w:eastAsia="Calibri" w:hAnsi="Times New Roman" w:cs="Times New Roman"/>
                <w:sz w:val="24"/>
                <w:szCs w:val="24"/>
              </w:rPr>
            </w:pPr>
          </w:p>
          <w:p w14:paraId="7BE3CF1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Minister of Mines and Energy shall grant a prospecting license to all eligible applicants for an area specified in the application if the application complies with the requirements outlined in the law or regulations.</w:t>
            </w:r>
          </w:p>
          <w:p w14:paraId="6D8DDF0E" w14:textId="77777777" w:rsidR="00423D65" w:rsidRPr="00B64E68" w:rsidRDefault="00423D65" w:rsidP="0057476A">
            <w:pPr>
              <w:spacing w:after="80"/>
              <w:jc w:val="both"/>
              <w:rPr>
                <w:rFonts w:ascii="Times New Roman" w:eastAsia="Calibri" w:hAnsi="Times New Roman" w:cs="Times New Roman"/>
                <w:sz w:val="24"/>
                <w:szCs w:val="24"/>
              </w:rPr>
            </w:pPr>
          </w:p>
          <w:p w14:paraId="76B31398"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following are types of mineral rights/licenses that can be granted under the Minerals and Mining Law in Liberia: a) Prospecting License - it is granted when an area has not already been subject to a valid Mineral right granted to another person; the area granted shall not exceed one hundred (100) acres. The holder shall file and submit a proposed work plan for the prospection to the Minister of Mines and Energy. The Prospecting license does not give the right to conduct commercial mining. This is valid for six (6) months, renewable once for six (6) months, provided that the holder meets his obligations under the law.</w:t>
            </w:r>
          </w:p>
          <w:p w14:paraId="4F03A3A1" w14:textId="77777777" w:rsidR="00423D65" w:rsidRPr="00B64E68" w:rsidRDefault="00423D65" w:rsidP="0057476A">
            <w:pPr>
              <w:spacing w:after="80"/>
              <w:jc w:val="both"/>
              <w:rPr>
                <w:rFonts w:ascii="Times New Roman" w:eastAsia="Calibri" w:hAnsi="Times New Roman" w:cs="Times New Roman"/>
                <w:sz w:val="24"/>
                <w:szCs w:val="24"/>
              </w:rPr>
            </w:pPr>
          </w:p>
          <w:p w14:paraId="59A9499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b) Exploration License is granted when the area has not already been subject to a valid mineral right granted to another person; the exploration area shall be contiguous and shall not exceed one thousand (1,000) square kilometers. The holder is to submit a proposed exploration </w:t>
            </w:r>
            <w:proofErr w:type="spellStart"/>
            <w:r w:rsidRPr="00B64E68">
              <w:rPr>
                <w:rFonts w:ascii="Times New Roman" w:eastAsia="Calibri" w:hAnsi="Times New Roman" w:cs="Times New Roman"/>
                <w:sz w:val="24"/>
                <w:szCs w:val="24"/>
              </w:rPr>
              <w:t>Programme</w:t>
            </w:r>
            <w:proofErr w:type="spellEnd"/>
            <w:r w:rsidRPr="00B64E68">
              <w:rPr>
                <w:rFonts w:ascii="Times New Roman" w:eastAsia="Calibri" w:hAnsi="Times New Roman" w:cs="Times New Roman"/>
                <w:sz w:val="24"/>
                <w:szCs w:val="24"/>
              </w:rPr>
              <w:t xml:space="preserve"> to the Minister of Mines and Energy within ninety (90) days after the issuance of the exploration license and shall commence exploration within one hundred and eighty (180) days after the issuance of an exploration license unless the Minister agrees to a longer period. This is valid </w:t>
            </w:r>
            <w:r w:rsidRPr="00B64E68">
              <w:rPr>
                <w:rFonts w:ascii="Times New Roman" w:eastAsia="Calibri" w:hAnsi="Times New Roman" w:cs="Times New Roman"/>
                <w:sz w:val="24"/>
                <w:szCs w:val="24"/>
              </w:rPr>
              <w:lastRenderedPageBreak/>
              <w:t>for not more than three (3) years, and it may be extended for a single two (2) year term upon the written application of a holder.</w:t>
            </w:r>
          </w:p>
          <w:p w14:paraId="4E798B49" w14:textId="77777777" w:rsidR="00423D65" w:rsidRPr="00B64E68" w:rsidRDefault="00423D65" w:rsidP="0057476A">
            <w:pPr>
              <w:spacing w:after="80"/>
              <w:jc w:val="both"/>
              <w:rPr>
                <w:rFonts w:ascii="Times New Roman" w:eastAsia="Calibri" w:hAnsi="Times New Roman" w:cs="Times New Roman"/>
                <w:sz w:val="24"/>
                <w:szCs w:val="24"/>
              </w:rPr>
            </w:pPr>
          </w:p>
          <w:p w14:paraId="27E1506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c) Class C mining license - the production area covered by this license shall be not more than twenty-five (25) acres. One person may simultaneously hold up to four (4) class C mining licenses. Holders of Class C mining licenses shall conduct mining predominantly as small-scale operations. This is valid for one (1) year, renewable for further terms of one year each if the holder has met all of his legal obligations.</w:t>
            </w:r>
          </w:p>
          <w:p w14:paraId="09D653F1" w14:textId="77777777" w:rsidR="00423D65" w:rsidRPr="00B64E68" w:rsidRDefault="00423D65" w:rsidP="0057476A">
            <w:pPr>
              <w:spacing w:after="80"/>
              <w:jc w:val="both"/>
              <w:rPr>
                <w:rFonts w:ascii="Times New Roman" w:eastAsia="Calibri" w:hAnsi="Times New Roman" w:cs="Times New Roman"/>
                <w:sz w:val="24"/>
                <w:szCs w:val="24"/>
              </w:rPr>
            </w:pPr>
          </w:p>
          <w:p w14:paraId="7E5EF3D4"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d) Class B mining license - holders of class B mining licenses can conduct mining as industrial operations. The production area is twenty-five (25) acres, and this is valid for five (5) years and renewable for not more than five (5) years.</w:t>
            </w:r>
          </w:p>
          <w:p w14:paraId="1BBCFD76" w14:textId="77777777" w:rsidR="00423D65" w:rsidRPr="00B64E68" w:rsidRDefault="00423D65" w:rsidP="0057476A">
            <w:pPr>
              <w:spacing w:after="80"/>
              <w:jc w:val="both"/>
              <w:rPr>
                <w:rFonts w:ascii="Times New Roman" w:eastAsia="Calibri" w:hAnsi="Times New Roman" w:cs="Times New Roman"/>
                <w:sz w:val="24"/>
                <w:szCs w:val="24"/>
              </w:rPr>
            </w:pPr>
          </w:p>
          <w:p w14:paraId="3C544BA5"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 Class A mining license is granted during or at the end of the exploration period of discovering exploitable deposits. It is materially in compliance with a Mineral Development Agreement, which has become effective, permitting mining in the proposed production area. Not be more than twenty-five (25) years and may be extended for consecutive additional terms not exceeding twenty-five (25) years each.</w:t>
            </w:r>
          </w:p>
          <w:p w14:paraId="08E6C021" w14:textId="77777777" w:rsidR="00423D65" w:rsidRPr="00B64E68" w:rsidRDefault="00423D65" w:rsidP="0057476A">
            <w:pPr>
              <w:spacing w:after="80"/>
              <w:jc w:val="both"/>
              <w:rPr>
                <w:rFonts w:ascii="Times New Roman" w:eastAsia="Calibri" w:hAnsi="Times New Roman" w:cs="Times New Roman"/>
                <w:sz w:val="24"/>
                <w:szCs w:val="24"/>
              </w:rPr>
            </w:pPr>
          </w:p>
          <w:p w14:paraId="17655488" w14:textId="62A62F90"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w:t>
            </w:r>
            <w:r w:rsidR="00252F1D" w:rsidRPr="00252F1D">
              <w:rPr>
                <w:rFonts w:ascii="Times New Roman" w:hAnsi="Times New Roman" w:cs="Times New Roman"/>
                <w:sz w:val="24"/>
                <w:szCs w:val="24"/>
              </w:rPr>
              <w:t>15</w:t>
            </w:r>
            <w:r w:rsidR="00252F1D" w:rsidRPr="00252F1D">
              <w:rPr>
                <w:rFonts w:ascii="Times New Roman" w:hAnsi="Times New Roman" w:cs="Times New Roman"/>
                <w:sz w:val="24"/>
                <w:szCs w:val="24"/>
                <w:vertAlign w:val="superscript"/>
              </w:rPr>
              <w:t>th</w:t>
            </w:r>
            <w:r w:rsidR="00252F1D" w:rsidRPr="00252F1D">
              <w:rPr>
                <w:rFonts w:ascii="Times New Roman" w:hAnsi="Times New Roman" w:cs="Times New Roman"/>
                <w:sz w:val="24"/>
                <w:szCs w:val="24"/>
              </w:rPr>
              <w:t xml:space="preserve"> and 16</w:t>
            </w:r>
            <w:r w:rsidR="00252F1D" w:rsidRPr="00252F1D">
              <w:rPr>
                <w:rFonts w:ascii="Times New Roman" w:hAnsi="Times New Roman" w:cs="Times New Roman"/>
                <w:sz w:val="24"/>
                <w:szCs w:val="24"/>
                <w:vertAlign w:val="superscript"/>
              </w:rPr>
              <w:t>th</w:t>
            </w:r>
            <w:r w:rsidR="00252F1D" w:rsidRPr="00252F1D">
              <w:rPr>
                <w:rFonts w:ascii="Times New Roman" w:hAnsi="Times New Roman" w:cs="Times New Roman"/>
                <w:sz w:val="24"/>
                <w:szCs w:val="24"/>
              </w:rPr>
              <w:t xml:space="preserve"> EITI reports</w:t>
            </w:r>
            <w:r w:rsidRPr="00B64E68">
              <w:rPr>
                <w:rFonts w:ascii="Times New Roman" w:eastAsia="Calibri" w:hAnsi="Times New Roman" w:cs="Times New Roman"/>
                <w:sz w:val="24"/>
                <w:szCs w:val="24"/>
              </w:rPr>
              <w:t xml:space="preserve">, prepared during the referenced period, provide a list of active licenses in Liberia's mining, oil, agriculture, and forestry sectors. </w:t>
            </w:r>
          </w:p>
          <w:p w14:paraId="2568B522" w14:textId="77777777" w:rsidR="00423D65" w:rsidRPr="00B64E68" w:rsidRDefault="00423D65" w:rsidP="0057476A">
            <w:pPr>
              <w:spacing w:after="80"/>
              <w:jc w:val="both"/>
              <w:rPr>
                <w:rFonts w:ascii="Times New Roman" w:eastAsia="Calibri" w:hAnsi="Times New Roman" w:cs="Times New Roman"/>
                <w:sz w:val="24"/>
                <w:szCs w:val="24"/>
              </w:rPr>
            </w:pPr>
          </w:p>
          <w:p w14:paraId="3CF99705" w14:textId="77777777" w:rsidR="00423D65" w:rsidRPr="00B64E68" w:rsidRDefault="00423D65" w:rsidP="0057476A">
            <w:pPr>
              <w:spacing w:after="80"/>
              <w:jc w:val="both"/>
              <w:rPr>
                <w:rFonts w:ascii="Times New Roman" w:eastAsia="Calibri" w:hAnsi="Times New Roman" w:cs="Times New Roman"/>
                <w:sz w:val="24"/>
                <w:szCs w:val="24"/>
              </w:rPr>
            </w:pPr>
          </w:p>
          <w:p w14:paraId="4E236119" w14:textId="77777777" w:rsidR="00423D65" w:rsidRPr="00B64E68" w:rsidRDefault="00423D65" w:rsidP="0057476A">
            <w:pPr>
              <w:spacing w:after="80"/>
              <w:jc w:val="both"/>
              <w:rPr>
                <w:rFonts w:ascii="Times New Roman" w:eastAsia="Calibri" w:hAnsi="Times New Roman" w:cs="Times New Roman"/>
                <w:sz w:val="24"/>
                <w:szCs w:val="24"/>
              </w:rPr>
            </w:pPr>
          </w:p>
          <w:p w14:paraId="3E50E475" w14:textId="77777777" w:rsidR="00423D65" w:rsidRPr="00B64E68" w:rsidRDefault="00423D65" w:rsidP="0057476A">
            <w:pPr>
              <w:spacing w:after="80"/>
              <w:jc w:val="both"/>
              <w:rPr>
                <w:rFonts w:ascii="Times New Roman" w:eastAsia="Calibri" w:hAnsi="Times New Roman" w:cs="Times New Roman"/>
                <w:sz w:val="24"/>
                <w:szCs w:val="24"/>
              </w:rPr>
            </w:pPr>
          </w:p>
          <w:p w14:paraId="40593751" w14:textId="77777777" w:rsidR="00423D65" w:rsidRPr="00B64E68" w:rsidRDefault="00423D65" w:rsidP="0057476A">
            <w:pPr>
              <w:spacing w:after="80"/>
              <w:jc w:val="both"/>
              <w:rPr>
                <w:rFonts w:ascii="Times New Roman" w:eastAsia="Calibri" w:hAnsi="Times New Roman" w:cs="Times New Roman"/>
                <w:sz w:val="24"/>
                <w:szCs w:val="24"/>
              </w:rPr>
            </w:pPr>
          </w:p>
          <w:p w14:paraId="39ABFDF6" w14:textId="77777777" w:rsidR="00423D65" w:rsidRPr="00B64E68" w:rsidRDefault="00423D65" w:rsidP="0057476A">
            <w:pPr>
              <w:spacing w:after="80"/>
              <w:jc w:val="both"/>
              <w:rPr>
                <w:rFonts w:ascii="Times New Roman" w:eastAsia="Calibri" w:hAnsi="Times New Roman" w:cs="Times New Roman"/>
                <w:sz w:val="24"/>
                <w:szCs w:val="24"/>
              </w:rPr>
            </w:pPr>
          </w:p>
          <w:p w14:paraId="163A908D" w14:textId="77777777" w:rsidR="00423D65" w:rsidRPr="00B64E68" w:rsidRDefault="00423D65" w:rsidP="0057476A">
            <w:pPr>
              <w:spacing w:after="80"/>
              <w:jc w:val="both"/>
              <w:rPr>
                <w:rFonts w:ascii="Times New Roman" w:eastAsia="Calibri" w:hAnsi="Times New Roman" w:cs="Times New Roman"/>
                <w:sz w:val="24"/>
                <w:szCs w:val="24"/>
              </w:rPr>
            </w:pPr>
          </w:p>
          <w:p w14:paraId="5FC81DF4" w14:textId="77777777" w:rsidR="00423D65" w:rsidRPr="00B64E68" w:rsidRDefault="00423D65" w:rsidP="0057476A">
            <w:pPr>
              <w:spacing w:after="80"/>
              <w:jc w:val="both"/>
              <w:rPr>
                <w:rFonts w:ascii="Times New Roman" w:eastAsia="Calibri" w:hAnsi="Times New Roman" w:cs="Times New Roman"/>
                <w:sz w:val="24"/>
                <w:szCs w:val="24"/>
              </w:rPr>
            </w:pPr>
          </w:p>
          <w:p w14:paraId="1B320457" w14:textId="77777777" w:rsidR="00423D65" w:rsidRPr="00B64E68" w:rsidRDefault="00423D65" w:rsidP="0057476A">
            <w:pPr>
              <w:spacing w:after="80"/>
              <w:jc w:val="both"/>
              <w:rPr>
                <w:rFonts w:ascii="Times New Roman" w:eastAsia="Calibri" w:hAnsi="Times New Roman" w:cs="Times New Roman"/>
                <w:sz w:val="24"/>
                <w:szCs w:val="24"/>
              </w:rPr>
            </w:pPr>
          </w:p>
          <w:p w14:paraId="68DD4A41" w14:textId="77777777" w:rsidR="00423D65" w:rsidRPr="00B64E68" w:rsidRDefault="00423D65" w:rsidP="0057476A">
            <w:pPr>
              <w:spacing w:after="80"/>
              <w:jc w:val="both"/>
              <w:rPr>
                <w:rFonts w:ascii="Times New Roman" w:eastAsia="Calibri" w:hAnsi="Times New Roman" w:cs="Times New Roman"/>
                <w:sz w:val="24"/>
                <w:szCs w:val="24"/>
              </w:rPr>
            </w:pPr>
          </w:p>
          <w:p w14:paraId="0C7698DA" w14:textId="77777777" w:rsidR="00423D65" w:rsidRPr="00B64E68" w:rsidRDefault="00423D65" w:rsidP="0057476A">
            <w:pPr>
              <w:spacing w:after="80"/>
              <w:jc w:val="both"/>
              <w:rPr>
                <w:rFonts w:ascii="Times New Roman" w:eastAsia="Calibri" w:hAnsi="Times New Roman" w:cs="Times New Roman"/>
                <w:sz w:val="24"/>
                <w:szCs w:val="24"/>
              </w:rPr>
            </w:pPr>
          </w:p>
          <w:p w14:paraId="3CD292A0" w14:textId="77777777" w:rsidR="00423D65" w:rsidRPr="00B64E68" w:rsidRDefault="00423D65" w:rsidP="0057476A">
            <w:pPr>
              <w:spacing w:after="80"/>
              <w:jc w:val="both"/>
              <w:rPr>
                <w:rFonts w:ascii="Times New Roman" w:eastAsia="Calibri" w:hAnsi="Times New Roman" w:cs="Times New Roman"/>
                <w:sz w:val="24"/>
                <w:szCs w:val="24"/>
              </w:rPr>
            </w:pPr>
          </w:p>
          <w:p w14:paraId="754FDD23" w14:textId="77777777" w:rsidR="00423D65" w:rsidRPr="00B64E68" w:rsidRDefault="00423D65" w:rsidP="0057476A">
            <w:pPr>
              <w:spacing w:after="80"/>
              <w:jc w:val="both"/>
              <w:rPr>
                <w:rFonts w:ascii="Times New Roman" w:eastAsia="Calibri" w:hAnsi="Times New Roman" w:cs="Times New Roman"/>
                <w:sz w:val="24"/>
                <w:szCs w:val="24"/>
              </w:rPr>
            </w:pPr>
          </w:p>
          <w:p w14:paraId="13E37FD4" w14:textId="77777777" w:rsidR="00423D65" w:rsidRPr="00B64E68" w:rsidRDefault="00423D65" w:rsidP="0057476A">
            <w:pPr>
              <w:spacing w:after="80"/>
              <w:jc w:val="both"/>
              <w:rPr>
                <w:rFonts w:ascii="Times New Roman" w:eastAsia="Calibri" w:hAnsi="Times New Roman" w:cs="Times New Roman"/>
                <w:sz w:val="24"/>
                <w:szCs w:val="24"/>
              </w:rPr>
            </w:pPr>
          </w:p>
          <w:p w14:paraId="19ABA216" w14:textId="77777777" w:rsidR="00423D65" w:rsidRPr="00B64E68" w:rsidRDefault="00423D65" w:rsidP="0057476A">
            <w:pPr>
              <w:spacing w:after="80"/>
              <w:jc w:val="both"/>
              <w:rPr>
                <w:rFonts w:ascii="Times New Roman" w:eastAsia="Calibri" w:hAnsi="Times New Roman" w:cs="Times New Roman"/>
                <w:sz w:val="24"/>
                <w:szCs w:val="24"/>
              </w:rPr>
            </w:pPr>
          </w:p>
          <w:p w14:paraId="6875F710" w14:textId="77777777" w:rsidR="00423D65" w:rsidRPr="00B64E68" w:rsidRDefault="00423D65" w:rsidP="0057476A">
            <w:pPr>
              <w:spacing w:after="80"/>
              <w:jc w:val="both"/>
              <w:rPr>
                <w:rFonts w:ascii="Times New Roman" w:eastAsia="Calibri" w:hAnsi="Times New Roman" w:cs="Times New Roman"/>
                <w:sz w:val="24"/>
                <w:szCs w:val="24"/>
              </w:rPr>
            </w:pPr>
          </w:p>
          <w:p w14:paraId="10940F2F" w14:textId="77777777" w:rsidR="00423D65" w:rsidRPr="00B64E68" w:rsidRDefault="00423D65" w:rsidP="0057476A">
            <w:pPr>
              <w:spacing w:after="80"/>
              <w:jc w:val="both"/>
              <w:rPr>
                <w:rFonts w:ascii="Times New Roman" w:eastAsia="Calibri" w:hAnsi="Times New Roman" w:cs="Times New Roman"/>
                <w:sz w:val="24"/>
                <w:szCs w:val="24"/>
              </w:rPr>
            </w:pPr>
          </w:p>
          <w:p w14:paraId="1B1746E8" w14:textId="77777777" w:rsidR="00423D65" w:rsidRPr="00B64E68" w:rsidRDefault="00423D65" w:rsidP="0057476A">
            <w:pPr>
              <w:spacing w:after="80"/>
              <w:jc w:val="both"/>
              <w:rPr>
                <w:rFonts w:ascii="Times New Roman" w:eastAsia="Calibri" w:hAnsi="Times New Roman" w:cs="Times New Roman"/>
                <w:sz w:val="24"/>
                <w:szCs w:val="24"/>
              </w:rPr>
            </w:pPr>
          </w:p>
          <w:p w14:paraId="6707FB09" w14:textId="77777777" w:rsidR="00423D65" w:rsidRPr="00B64E68" w:rsidRDefault="00423D65" w:rsidP="0057476A">
            <w:pPr>
              <w:spacing w:after="80"/>
              <w:jc w:val="both"/>
              <w:rPr>
                <w:rFonts w:ascii="Times New Roman" w:eastAsia="Calibri" w:hAnsi="Times New Roman" w:cs="Times New Roman"/>
                <w:sz w:val="24"/>
                <w:szCs w:val="24"/>
              </w:rPr>
            </w:pPr>
          </w:p>
          <w:p w14:paraId="3836706C" w14:textId="77777777" w:rsidR="00423D65" w:rsidRPr="00B64E68" w:rsidRDefault="00423D65" w:rsidP="0057476A">
            <w:pPr>
              <w:spacing w:after="80"/>
              <w:jc w:val="both"/>
              <w:rPr>
                <w:rFonts w:ascii="Times New Roman" w:eastAsia="Calibri" w:hAnsi="Times New Roman" w:cs="Times New Roman"/>
                <w:sz w:val="24"/>
                <w:szCs w:val="24"/>
              </w:rPr>
            </w:pPr>
          </w:p>
          <w:p w14:paraId="1B83A525" w14:textId="77777777" w:rsidR="00423D65" w:rsidRPr="00B64E68" w:rsidRDefault="00423D65" w:rsidP="0057476A">
            <w:pPr>
              <w:spacing w:after="80"/>
              <w:jc w:val="both"/>
              <w:rPr>
                <w:rFonts w:ascii="Times New Roman" w:eastAsia="Calibri" w:hAnsi="Times New Roman" w:cs="Times New Roman"/>
                <w:sz w:val="24"/>
                <w:szCs w:val="24"/>
              </w:rPr>
            </w:pPr>
          </w:p>
          <w:p w14:paraId="246341FA" w14:textId="77777777" w:rsidR="00423D65" w:rsidRPr="00B64E68" w:rsidRDefault="00423D65" w:rsidP="0057476A">
            <w:pPr>
              <w:spacing w:after="80"/>
              <w:jc w:val="both"/>
              <w:rPr>
                <w:rFonts w:ascii="Times New Roman" w:eastAsia="Calibri" w:hAnsi="Times New Roman" w:cs="Times New Roman"/>
                <w:sz w:val="24"/>
                <w:szCs w:val="24"/>
              </w:rPr>
            </w:pPr>
          </w:p>
          <w:p w14:paraId="0EE6DCE1"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Liberia has developed an open data policy that conforms to Requirement 4.1. Though the LEITI MSG did not develop the policy, the MSG, through a </w:t>
            </w:r>
            <w:hyperlink r:id="rId56" w:history="1">
              <w:r w:rsidRPr="00B64E68">
                <w:rPr>
                  <w:rFonts w:ascii="Times New Roman" w:eastAsia="Calibri" w:hAnsi="Times New Roman" w:cs="Times New Roman"/>
                  <w:color w:val="0563C1"/>
                  <w:sz w:val="24"/>
                  <w:szCs w:val="24"/>
                  <w:u w:val="single"/>
                </w:rPr>
                <w:t>resolution</w:t>
              </w:r>
            </w:hyperlink>
            <w:r w:rsidRPr="00B64E68">
              <w:rPr>
                <w:rFonts w:ascii="Times New Roman" w:eastAsia="Calibri" w:hAnsi="Times New Roman" w:cs="Times New Roman"/>
                <w:sz w:val="24"/>
                <w:szCs w:val="24"/>
              </w:rPr>
              <w:t xml:space="preserve"> signed in December 2021, adopted an existing open data policy from the Government of Liberia, developed by the Liberia Institute for Statistics and Geo-information Service (LISGIS)</w:t>
            </w:r>
          </w:p>
          <w:p w14:paraId="49B45B09" w14:textId="77777777" w:rsidR="00423D65" w:rsidRPr="00B64E68" w:rsidRDefault="00423D65" w:rsidP="0057476A">
            <w:pPr>
              <w:spacing w:after="80"/>
              <w:jc w:val="both"/>
              <w:rPr>
                <w:rFonts w:ascii="Times New Roman" w:eastAsia="Calibri" w:hAnsi="Times New Roman" w:cs="Times New Roman"/>
                <w:sz w:val="24"/>
                <w:szCs w:val="24"/>
              </w:rPr>
            </w:pPr>
          </w:p>
          <w:p w14:paraId="2715440F" w14:textId="77777777" w:rsidR="00423D65" w:rsidRPr="00B64E68" w:rsidRDefault="00423D65" w:rsidP="0057476A">
            <w:pPr>
              <w:spacing w:after="80"/>
              <w:jc w:val="both"/>
              <w:rPr>
                <w:rFonts w:ascii="Times New Roman" w:eastAsia="Calibri" w:hAnsi="Times New Roman" w:cs="Times New Roman"/>
                <w:sz w:val="24"/>
                <w:szCs w:val="24"/>
              </w:rPr>
            </w:pPr>
          </w:p>
          <w:p w14:paraId="75E0BA7A" w14:textId="77777777" w:rsidR="00423D65" w:rsidRPr="00B64E68" w:rsidRDefault="00423D65" w:rsidP="0057476A">
            <w:pPr>
              <w:spacing w:after="80"/>
              <w:jc w:val="both"/>
              <w:rPr>
                <w:rFonts w:ascii="Times New Roman" w:eastAsia="Calibri" w:hAnsi="Times New Roman" w:cs="Times New Roman"/>
                <w:sz w:val="24"/>
                <w:szCs w:val="24"/>
              </w:rPr>
            </w:pPr>
          </w:p>
          <w:p w14:paraId="495EE204" w14:textId="77777777" w:rsidR="00423D65" w:rsidRPr="00B64E68" w:rsidRDefault="00423D65" w:rsidP="0057476A">
            <w:pPr>
              <w:spacing w:after="80"/>
              <w:jc w:val="both"/>
              <w:rPr>
                <w:rFonts w:ascii="Times New Roman" w:eastAsia="Calibri" w:hAnsi="Times New Roman" w:cs="Times New Roman"/>
                <w:sz w:val="24"/>
                <w:szCs w:val="24"/>
              </w:rPr>
            </w:pPr>
          </w:p>
          <w:p w14:paraId="58118B7E" w14:textId="77777777" w:rsidR="00423D65" w:rsidRPr="00B64E68" w:rsidRDefault="00423D65" w:rsidP="0057476A">
            <w:pPr>
              <w:spacing w:after="80"/>
              <w:jc w:val="both"/>
              <w:rPr>
                <w:rFonts w:ascii="Times New Roman" w:eastAsia="Calibri" w:hAnsi="Times New Roman" w:cs="Times New Roman"/>
                <w:sz w:val="24"/>
                <w:szCs w:val="24"/>
              </w:rPr>
            </w:pPr>
          </w:p>
          <w:p w14:paraId="34214B06" w14:textId="77777777" w:rsidR="00423D65" w:rsidRPr="00B64E68" w:rsidRDefault="00423D65" w:rsidP="0057476A">
            <w:pPr>
              <w:spacing w:after="80"/>
              <w:jc w:val="both"/>
              <w:rPr>
                <w:rFonts w:ascii="Times New Roman" w:eastAsia="Calibri" w:hAnsi="Times New Roman" w:cs="Times New Roman"/>
                <w:sz w:val="24"/>
                <w:szCs w:val="24"/>
              </w:rPr>
            </w:pPr>
          </w:p>
          <w:p w14:paraId="7C47EE62" w14:textId="77777777" w:rsidR="00423D65" w:rsidRPr="00B64E68" w:rsidRDefault="00423D65" w:rsidP="0057476A">
            <w:pPr>
              <w:spacing w:after="80"/>
              <w:jc w:val="both"/>
              <w:rPr>
                <w:rFonts w:ascii="Times New Roman" w:eastAsia="Calibri" w:hAnsi="Times New Roman" w:cs="Times New Roman"/>
                <w:sz w:val="24"/>
                <w:szCs w:val="24"/>
              </w:rPr>
            </w:pPr>
          </w:p>
          <w:p w14:paraId="6E911132" w14:textId="77777777" w:rsidR="00423D65" w:rsidRPr="00B64E68" w:rsidRDefault="00423D65" w:rsidP="0057476A">
            <w:pPr>
              <w:spacing w:after="80"/>
              <w:jc w:val="both"/>
              <w:rPr>
                <w:rFonts w:ascii="Times New Roman" w:eastAsia="Calibri" w:hAnsi="Times New Roman" w:cs="Times New Roman"/>
                <w:sz w:val="24"/>
                <w:szCs w:val="24"/>
              </w:rPr>
            </w:pPr>
          </w:p>
          <w:p w14:paraId="4E4DA512" w14:textId="77777777" w:rsidR="00423D65" w:rsidRPr="00B64E68" w:rsidRDefault="00423D65" w:rsidP="0057476A">
            <w:pPr>
              <w:spacing w:after="80"/>
              <w:jc w:val="both"/>
              <w:rPr>
                <w:rFonts w:ascii="Times New Roman" w:eastAsia="Calibri" w:hAnsi="Times New Roman" w:cs="Times New Roman"/>
                <w:sz w:val="24"/>
                <w:szCs w:val="24"/>
              </w:rPr>
            </w:pPr>
          </w:p>
          <w:p w14:paraId="13C291C3" w14:textId="77777777" w:rsidR="00423D65" w:rsidRPr="00B64E68" w:rsidRDefault="00423D65" w:rsidP="0057476A">
            <w:pPr>
              <w:spacing w:after="80"/>
              <w:jc w:val="both"/>
              <w:rPr>
                <w:rFonts w:ascii="Times New Roman" w:eastAsia="Calibri" w:hAnsi="Times New Roman" w:cs="Times New Roman"/>
                <w:sz w:val="24"/>
                <w:szCs w:val="24"/>
              </w:rPr>
            </w:pPr>
          </w:p>
          <w:p w14:paraId="2A5EA0BC" w14:textId="77777777" w:rsidR="00423D65" w:rsidRPr="00B64E68" w:rsidRDefault="00423D65" w:rsidP="0057476A">
            <w:pPr>
              <w:spacing w:after="80"/>
              <w:jc w:val="both"/>
              <w:rPr>
                <w:rFonts w:ascii="Times New Roman" w:eastAsia="Calibri" w:hAnsi="Times New Roman" w:cs="Times New Roman"/>
                <w:sz w:val="24"/>
                <w:szCs w:val="24"/>
              </w:rPr>
            </w:pPr>
          </w:p>
          <w:p w14:paraId="0B491D4C" w14:textId="77777777" w:rsidR="00423D65" w:rsidRPr="00B64E68" w:rsidRDefault="00423D65" w:rsidP="0057476A">
            <w:pPr>
              <w:spacing w:after="80"/>
              <w:jc w:val="both"/>
              <w:rPr>
                <w:rFonts w:ascii="Times New Roman" w:eastAsia="Calibri" w:hAnsi="Times New Roman" w:cs="Times New Roman"/>
                <w:sz w:val="24"/>
                <w:szCs w:val="24"/>
              </w:rPr>
            </w:pPr>
          </w:p>
          <w:p w14:paraId="0EF5ADA7" w14:textId="77777777" w:rsidR="00423D65" w:rsidRPr="00B64E68" w:rsidRDefault="00423D65" w:rsidP="0057476A">
            <w:pPr>
              <w:spacing w:after="80"/>
              <w:jc w:val="both"/>
              <w:rPr>
                <w:rFonts w:ascii="Times New Roman" w:eastAsia="Calibri" w:hAnsi="Times New Roman" w:cs="Times New Roman"/>
                <w:sz w:val="24"/>
                <w:szCs w:val="24"/>
              </w:rPr>
            </w:pPr>
          </w:p>
          <w:p w14:paraId="02138643" w14:textId="77777777" w:rsidR="00423D65" w:rsidRPr="00B64E68" w:rsidRDefault="00423D65" w:rsidP="0057476A">
            <w:pPr>
              <w:spacing w:after="80"/>
              <w:jc w:val="both"/>
              <w:rPr>
                <w:rFonts w:ascii="Times New Roman" w:eastAsia="Calibri" w:hAnsi="Times New Roman" w:cs="Times New Roman"/>
                <w:sz w:val="24"/>
                <w:szCs w:val="24"/>
              </w:rPr>
            </w:pPr>
          </w:p>
          <w:p w14:paraId="42125A5C" w14:textId="77777777" w:rsidR="00423D65" w:rsidRPr="00B64E68" w:rsidRDefault="00423D65" w:rsidP="0057476A">
            <w:pPr>
              <w:spacing w:after="80"/>
              <w:jc w:val="both"/>
              <w:rPr>
                <w:rFonts w:ascii="Times New Roman" w:eastAsia="Calibri" w:hAnsi="Times New Roman" w:cs="Times New Roman"/>
                <w:sz w:val="24"/>
                <w:szCs w:val="24"/>
              </w:rPr>
            </w:pPr>
          </w:p>
          <w:p w14:paraId="552140BB" w14:textId="77777777" w:rsidR="00423D65" w:rsidRPr="00B64E68" w:rsidRDefault="00423D65" w:rsidP="0057476A">
            <w:pPr>
              <w:spacing w:after="80"/>
              <w:jc w:val="both"/>
              <w:rPr>
                <w:rFonts w:ascii="Times New Roman" w:eastAsia="Calibri" w:hAnsi="Times New Roman" w:cs="Times New Roman"/>
                <w:sz w:val="24"/>
                <w:szCs w:val="24"/>
              </w:rPr>
            </w:pPr>
          </w:p>
          <w:p w14:paraId="77BD3772" w14:textId="77777777" w:rsidR="00423D65" w:rsidRPr="00B64E68" w:rsidRDefault="00423D65" w:rsidP="0057476A">
            <w:pPr>
              <w:spacing w:after="80"/>
              <w:jc w:val="both"/>
              <w:rPr>
                <w:rFonts w:ascii="Times New Roman" w:eastAsia="Calibri" w:hAnsi="Times New Roman" w:cs="Times New Roman"/>
                <w:sz w:val="24"/>
                <w:szCs w:val="24"/>
              </w:rPr>
            </w:pPr>
          </w:p>
          <w:p w14:paraId="310517BC" w14:textId="77777777" w:rsidR="00423D65" w:rsidRPr="00B64E68" w:rsidRDefault="00423D65" w:rsidP="0057476A">
            <w:pPr>
              <w:spacing w:after="80"/>
              <w:jc w:val="both"/>
              <w:rPr>
                <w:rFonts w:ascii="Times New Roman" w:eastAsia="Calibri" w:hAnsi="Times New Roman" w:cs="Times New Roman"/>
                <w:sz w:val="24"/>
                <w:szCs w:val="24"/>
              </w:rPr>
            </w:pPr>
          </w:p>
          <w:p w14:paraId="2B6C62F0" w14:textId="77777777" w:rsidR="00423D65" w:rsidRPr="00B64E68" w:rsidRDefault="00423D65" w:rsidP="0057476A">
            <w:pPr>
              <w:spacing w:after="80"/>
              <w:jc w:val="both"/>
              <w:rPr>
                <w:rFonts w:ascii="Times New Roman" w:eastAsia="Calibri" w:hAnsi="Times New Roman" w:cs="Times New Roman"/>
                <w:sz w:val="24"/>
                <w:szCs w:val="24"/>
              </w:rPr>
            </w:pPr>
          </w:p>
          <w:p w14:paraId="781C4A48" w14:textId="77777777" w:rsidR="00423D65" w:rsidRPr="00B64E68" w:rsidRDefault="00423D65" w:rsidP="0057476A">
            <w:pPr>
              <w:spacing w:after="80"/>
              <w:jc w:val="both"/>
              <w:rPr>
                <w:rFonts w:ascii="Times New Roman" w:eastAsia="Calibri" w:hAnsi="Times New Roman" w:cs="Times New Roman"/>
                <w:sz w:val="24"/>
                <w:szCs w:val="24"/>
              </w:rPr>
            </w:pPr>
          </w:p>
          <w:p w14:paraId="705A95BA" w14:textId="77777777" w:rsidR="00423D65" w:rsidRPr="00B64E68" w:rsidRDefault="00423D65" w:rsidP="0057476A">
            <w:pPr>
              <w:spacing w:after="80"/>
              <w:jc w:val="both"/>
              <w:rPr>
                <w:rFonts w:ascii="Times New Roman" w:eastAsia="Calibri" w:hAnsi="Times New Roman" w:cs="Times New Roman"/>
                <w:sz w:val="24"/>
                <w:szCs w:val="24"/>
              </w:rPr>
            </w:pPr>
          </w:p>
          <w:p w14:paraId="5E2EFE39" w14:textId="77777777" w:rsidR="00423D65" w:rsidRPr="00B64E68" w:rsidRDefault="00423D65" w:rsidP="0057476A">
            <w:pPr>
              <w:spacing w:after="80"/>
              <w:jc w:val="both"/>
              <w:rPr>
                <w:rFonts w:ascii="Times New Roman" w:eastAsia="Calibri" w:hAnsi="Times New Roman" w:cs="Times New Roman"/>
                <w:sz w:val="24"/>
                <w:szCs w:val="24"/>
              </w:rPr>
            </w:pPr>
          </w:p>
          <w:p w14:paraId="4BDBC213" w14:textId="77777777" w:rsidR="00423D65" w:rsidRPr="00B64E68" w:rsidRDefault="00423D65" w:rsidP="0057476A">
            <w:pPr>
              <w:spacing w:after="80"/>
              <w:jc w:val="both"/>
              <w:rPr>
                <w:rFonts w:ascii="Times New Roman" w:eastAsia="Calibri" w:hAnsi="Times New Roman" w:cs="Times New Roman"/>
                <w:sz w:val="24"/>
                <w:szCs w:val="24"/>
              </w:rPr>
            </w:pPr>
          </w:p>
          <w:p w14:paraId="48B125EC" w14:textId="77777777" w:rsidR="00423D65" w:rsidRPr="00B64E68" w:rsidRDefault="00423D65" w:rsidP="0057476A">
            <w:pPr>
              <w:spacing w:after="80"/>
              <w:jc w:val="both"/>
              <w:rPr>
                <w:rFonts w:ascii="Times New Roman" w:eastAsia="Calibri" w:hAnsi="Times New Roman" w:cs="Times New Roman"/>
                <w:sz w:val="24"/>
                <w:szCs w:val="24"/>
              </w:rPr>
            </w:pPr>
          </w:p>
          <w:p w14:paraId="4F08B277" w14:textId="77777777" w:rsidR="00423D65" w:rsidRPr="00B64E68" w:rsidRDefault="00423D65" w:rsidP="0057476A">
            <w:pPr>
              <w:spacing w:after="80"/>
              <w:jc w:val="both"/>
              <w:rPr>
                <w:rFonts w:ascii="Times New Roman" w:eastAsia="Calibri" w:hAnsi="Times New Roman" w:cs="Times New Roman"/>
                <w:sz w:val="24"/>
                <w:szCs w:val="24"/>
              </w:rPr>
            </w:pPr>
          </w:p>
          <w:p w14:paraId="1BB35001" w14:textId="77777777" w:rsidR="00423D65" w:rsidRPr="00B64E68" w:rsidRDefault="00423D65" w:rsidP="0057476A">
            <w:pPr>
              <w:spacing w:after="80"/>
              <w:jc w:val="both"/>
              <w:rPr>
                <w:rFonts w:ascii="Times New Roman" w:eastAsia="Calibri" w:hAnsi="Times New Roman" w:cs="Times New Roman"/>
                <w:sz w:val="24"/>
                <w:szCs w:val="24"/>
              </w:rPr>
            </w:pPr>
          </w:p>
          <w:p w14:paraId="491108DC" w14:textId="77777777" w:rsidR="00423D65" w:rsidRPr="00B64E68" w:rsidRDefault="00423D65" w:rsidP="0057476A">
            <w:pPr>
              <w:spacing w:after="80"/>
              <w:jc w:val="both"/>
              <w:rPr>
                <w:rFonts w:ascii="Times New Roman" w:eastAsia="Calibri" w:hAnsi="Times New Roman" w:cs="Times New Roman"/>
                <w:sz w:val="24"/>
                <w:szCs w:val="24"/>
              </w:rPr>
            </w:pPr>
          </w:p>
          <w:p w14:paraId="2D8DB93D" w14:textId="77777777" w:rsidR="00423D65" w:rsidRPr="00B64E68" w:rsidRDefault="00423D65" w:rsidP="0057476A">
            <w:pPr>
              <w:spacing w:after="80"/>
              <w:jc w:val="both"/>
              <w:rPr>
                <w:rFonts w:ascii="Times New Roman" w:eastAsia="Calibri" w:hAnsi="Times New Roman" w:cs="Times New Roman"/>
                <w:sz w:val="24"/>
                <w:szCs w:val="24"/>
              </w:rPr>
            </w:pPr>
          </w:p>
          <w:p w14:paraId="3108206B" w14:textId="77777777" w:rsidR="00423D65" w:rsidRPr="00B64E68" w:rsidRDefault="00423D65" w:rsidP="0057476A">
            <w:pPr>
              <w:spacing w:after="80"/>
              <w:jc w:val="both"/>
              <w:rPr>
                <w:rFonts w:ascii="Times New Roman" w:eastAsia="Calibri" w:hAnsi="Times New Roman" w:cs="Times New Roman"/>
                <w:sz w:val="24"/>
                <w:szCs w:val="24"/>
              </w:rPr>
            </w:pPr>
          </w:p>
          <w:p w14:paraId="1FD078BF" w14:textId="77777777" w:rsidR="00423D65" w:rsidRPr="00B64E68" w:rsidRDefault="00423D65" w:rsidP="0057476A">
            <w:pPr>
              <w:spacing w:after="80"/>
              <w:jc w:val="both"/>
              <w:rPr>
                <w:rFonts w:ascii="Times New Roman" w:eastAsia="Calibri" w:hAnsi="Times New Roman" w:cs="Times New Roman"/>
                <w:sz w:val="24"/>
                <w:szCs w:val="24"/>
              </w:rPr>
            </w:pPr>
          </w:p>
          <w:p w14:paraId="1BB502FE" w14:textId="77777777" w:rsidR="00423D65" w:rsidRPr="00B64E68" w:rsidRDefault="00423D65" w:rsidP="0057476A">
            <w:pPr>
              <w:spacing w:after="80"/>
              <w:jc w:val="both"/>
              <w:rPr>
                <w:rFonts w:ascii="Times New Roman" w:eastAsia="Calibri" w:hAnsi="Times New Roman" w:cs="Times New Roman"/>
                <w:sz w:val="24"/>
                <w:szCs w:val="24"/>
              </w:rPr>
            </w:pPr>
          </w:p>
          <w:p w14:paraId="0A408851" w14:textId="77777777" w:rsidR="00423D65" w:rsidRPr="00B64E68" w:rsidRDefault="00423D65" w:rsidP="0057476A">
            <w:pPr>
              <w:spacing w:after="80"/>
              <w:jc w:val="both"/>
              <w:rPr>
                <w:rFonts w:ascii="Times New Roman" w:eastAsia="Calibri" w:hAnsi="Times New Roman" w:cs="Times New Roman"/>
                <w:sz w:val="24"/>
                <w:szCs w:val="24"/>
              </w:rPr>
            </w:pPr>
          </w:p>
          <w:p w14:paraId="68BA4E2F" w14:textId="77777777" w:rsidR="00423D65" w:rsidRPr="00B64E68" w:rsidRDefault="00423D65" w:rsidP="0057476A">
            <w:pPr>
              <w:spacing w:after="80"/>
              <w:jc w:val="both"/>
              <w:rPr>
                <w:rFonts w:ascii="Times New Roman" w:eastAsia="Calibri" w:hAnsi="Times New Roman" w:cs="Times New Roman"/>
                <w:sz w:val="24"/>
                <w:szCs w:val="24"/>
              </w:rPr>
            </w:pPr>
          </w:p>
          <w:p w14:paraId="4E565B35" w14:textId="77777777" w:rsidR="00423D65" w:rsidRPr="00B64E68" w:rsidRDefault="00423D65" w:rsidP="0057476A">
            <w:pPr>
              <w:spacing w:after="80"/>
              <w:jc w:val="both"/>
              <w:rPr>
                <w:rFonts w:ascii="Times New Roman" w:eastAsia="Calibri" w:hAnsi="Times New Roman" w:cs="Times New Roman"/>
                <w:sz w:val="24"/>
                <w:szCs w:val="24"/>
              </w:rPr>
            </w:pPr>
          </w:p>
          <w:p w14:paraId="61F5DCF0" w14:textId="77777777" w:rsidR="00423D65" w:rsidRPr="00B64E68" w:rsidRDefault="00423D65" w:rsidP="0057476A">
            <w:pPr>
              <w:spacing w:after="80"/>
              <w:jc w:val="both"/>
              <w:rPr>
                <w:rFonts w:ascii="Times New Roman" w:eastAsia="Calibri" w:hAnsi="Times New Roman" w:cs="Times New Roman"/>
                <w:sz w:val="24"/>
                <w:szCs w:val="24"/>
              </w:rPr>
            </w:pPr>
          </w:p>
          <w:p w14:paraId="3029D77A" w14:textId="77777777" w:rsidR="00423D65"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Following a successful pilot of the beneficial ownership disclosure in 2016, the country developed a beneficial ownership roadmap during the reviewed period. With the guidance and rich inputs of the MSG, Liberia’s BO Roadmap charts future courses of action to maintain an up-to-date beneficial ownership disclosure by 2022. This effort was further boosted on September 21, 2021, when Liberia launched the Open Extractives program to disclose beneficial owners of concessions in Liberia. LEITI is currently working with the Liberia Revenue Authority (LRA) and other relevant agencies to test templates and software, setting up a registry for Liberia in 2022.   </w:t>
            </w:r>
          </w:p>
          <w:p w14:paraId="4D049993" w14:textId="471F922A" w:rsidR="00252F1D" w:rsidRPr="00B64E68" w:rsidRDefault="00252F1D"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National Beneficial Ownership Regulation for Domestic Entities has been developed. </w:t>
            </w:r>
          </w:p>
          <w:p w14:paraId="503C3990" w14:textId="77777777" w:rsidR="00423D65" w:rsidRPr="00B64E68" w:rsidRDefault="00423D65" w:rsidP="0057476A">
            <w:pPr>
              <w:spacing w:after="80"/>
              <w:jc w:val="both"/>
              <w:rPr>
                <w:rFonts w:ascii="Times New Roman" w:eastAsia="Calibri" w:hAnsi="Times New Roman" w:cs="Times New Roman"/>
                <w:color w:val="FF0000"/>
                <w:sz w:val="24"/>
                <w:szCs w:val="24"/>
              </w:rPr>
            </w:pPr>
          </w:p>
          <w:p w14:paraId="317925C6" w14:textId="48E4CDE3" w:rsidR="00423D65" w:rsidRDefault="000F19DE"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ensure compliance, the MSG during the period ensured the disclosure of the full text of all Mineral Development Agreements on the website of the LEITI Secretariat, the disclosure of the full text of all Class B, Exploration and Prospecting Licenses on the website of the LEITI Secretariat, the listing of all active Class C licenses on the website of the LEITI Secretariat, the disclosure of all forestry and agriculture agreements on the website of the LEITI, and developed a policy for the disclosure of extractive sector licenses and contracts in Liberia. </w:t>
            </w:r>
          </w:p>
          <w:p w14:paraId="67ECC69C" w14:textId="6B37041E" w:rsidR="000F19DE" w:rsidRPr="00B64E68" w:rsidRDefault="000F19DE"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MSG also published an Updated Simplified Contract Matrix and commissioned a Compliance Investigation of six mining companies. </w:t>
            </w:r>
          </w:p>
          <w:p w14:paraId="0FAAFC51" w14:textId="77777777" w:rsidR="00423D65" w:rsidRPr="00B64E68" w:rsidRDefault="00423D65" w:rsidP="0057476A">
            <w:pPr>
              <w:spacing w:after="80"/>
              <w:jc w:val="both"/>
              <w:rPr>
                <w:rFonts w:ascii="Times New Roman" w:eastAsia="Calibri" w:hAnsi="Times New Roman" w:cs="Times New Roman"/>
                <w:sz w:val="24"/>
                <w:szCs w:val="24"/>
              </w:rPr>
            </w:pPr>
          </w:p>
          <w:p w14:paraId="2D9E6BAB" w14:textId="77777777" w:rsidR="00423D65" w:rsidRPr="00B64E68" w:rsidRDefault="00423D65" w:rsidP="0057476A">
            <w:pPr>
              <w:spacing w:after="80"/>
              <w:jc w:val="both"/>
              <w:rPr>
                <w:rFonts w:ascii="Times New Roman" w:eastAsia="Calibri" w:hAnsi="Times New Roman" w:cs="Times New Roman"/>
                <w:sz w:val="24"/>
                <w:szCs w:val="24"/>
              </w:rPr>
            </w:pPr>
          </w:p>
          <w:p w14:paraId="31955A76" w14:textId="77777777" w:rsidR="00423D65" w:rsidRPr="00B64E68" w:rsidRDefault="00423D65" w:rsidP="0057476A">
            <w:pPr>
              <w:spacing w:after="80"/>
              <w:jc w:val="both"/>
              <w:rPr>
                <w:rFonts w:ascii="Times New Roman" w:eastAsia="Calibri" w:hAnsi="Times New Roman" w:cs="Times New Roman"/>
                <w:sz w:val="24"/>
                <w:szCs w:val="24"/>
              </w:rPr>
            </w:pPr>
          </w:p>
          <w:p w14:paraId="49BC2474" w14:textId="77777777" w:rsidR="00423D65" w:rsidRPr="00B64E68" w:rsidRDefault="00423D65" w:rsidP="0057476A">
            <w:pPr>
              <w:spacing w:after="80"/>
              <w:jc w:val="both"/>
              <w:rPr>
                <w:rFonts w:ascii="Times New Roman" w:eastAsia="Calibri" w:hAnsi="Times New Roman" w:cs="Times New Roman"/>
                <w:sz w:val="24"/>
                <w:szCs w:val="24"/>
              </w:rPr>
            </w:pPr>
          </w:p>
          <w:p w14:paraId="51CF49D6" w14:textId="77777777" w:rsidR="00423D65" w:rsidRPr="00B64E68" w:rsidRDefault="00423D65" w:rsidP="0057476A">
            <w:pPr>
              <w:spacing w:after="80"/>
              <w:jc w:val="both"/>
              <w:rPr>
                <w:rFonts w:ascii="Times New Roman" w:eastAsia="Calibri" w:hAnsi="Times New Roman" w:cs="Times New Roman"/>
                <w:sz w:val="24"/>
                <w:szCs w:val="24"/>
              </w:rPr>
            </w:pPr>
          </w:p>
          <w:p w14:paraId="18506C77" w14:textId="77777777" w:rsidR="00423D65" w:rsidRPr="00B64E68" w:rsidRDefault="00423D65" w:rsidP="0057476A">
            <w:pPr>
              <w:spacing w:after="80"/>
              <w:jc w:val="both"/>
              <w:rPr>
                <w:rFonts w:ascii="Times New Roman" w:eastAsia="Calibri" w:hAnsi="Times New Roman" w:cs="Times New Roman"/>
                <w:sz w:val="24"/>
                <w:szCs w:val="24"/>
              </w:rPr>
            </w:pPr>
          </w:p>
          <w:p w14:paraId="605DBCE9" w14:textId="77777777" w:rsidR="00423D65" w:rsidRPr="00B64E68" w:rsidRDefault="00423D65" w:rsidP="0057476A">
            <w:pPr>
              <w:spacing w:after="80"/>
              <w:jc w:val="both"/>
              <w:rPr>
                <w:rFonts w:ascii="Times New Roman" w:eastAsia="Calibri" w:hAnsi="Times New Roman" w:cs="Times New Roman"/>
                <w:sz w:val="24"/>
                <w:szCs w:val="24"/>
              </w:rPr>
            </w:pPr>
          </w:p>
          <w:p w14:paraId="072532E1" w14:textId="77777777" w:rsidR="00423D65" w:rsidRPr="00B64E68" w:rsidRDefault="00423D65" w:rsidP="0057476A">
            <w:pPr>
              <w:spacing w:after="80"/>
              <w:jc w:val="both"/>
              <w:rPr>
                <w:rFonts w:ascii="Times New Roman" w:eastAsia="Calibri" w:hAnsi="Times New Roman" w:cs="Times New Roman"/>
                <w:sz w:val="24"/>
                <w:szCs w:val="24"/>
              </w:rPr>
            </w:pPr>
          </w:p>
          <w:p w14:paraId="391D9B5C" w14:textId="77777777" w:rsidR="00423D65" w:rsidRPr="00B64E68" w:rsidRDefault="00423D65" w:rsidP="0057476A">
            <w:pPr>
              <w:spacing w:after="80"/>
              <w:jc w:val="both"/>
              <w:rPr>
                <w:rFonts w:ascii="Times New Roman" w:eastAsia="Calibri" w:hAnsi="Times New Roman" w:cs="Times New Roman"/>
                <w:sz w:val="24"/>
                <w:szCs w:val="24"/>
              </w:rPr>
            </w:pPr>
          </w:p>
          <w:p w14:paraId="3FDDE60C" w14:textId="77777777" w:rsidR="00423D65" w:rsidRPr="00B64E68" w:rsidRDefault="00423D65" w:rsidP="0057476A">
            <w:pPr>
              <w:spacing w:after="80"/>
              <w:jc w:val="both"/>
              <w:rPr>
                <w:rFonts w:ascii="Times New Roman" w:eastAsia="Calibri" w:hAnsi="Times New Roman" w:cs="Times New Roman"/>
                <w:sz w:val="24"/>
                <w:szCs w:val="24"/>
              </w:rPr>
            </w:pPr>
          </w:p>
          <w:p w14:paraId="3ECF3B18" w14:textId="77777777" w:rsidR="00423D65" w:rsidRPr="00B64E68" w:rsidRDefault="00423D65" w:rsidP="0057476A">
            <w:pPr>
              <w:spacing w:after="80"/>
              <w:jc w:val="both"/>
              <w:rPr>
                <w:rFonts w:ascii="Times New Roman" w:eastAsia="Calibri" w:hAnsi="Times New Roman" w:cs="Times New Roman"/>
                <w:sz w:val="24"/>
                <w:szCs w:val="24"/>
              </w:rPr>
            </w:pPr>
          </w:p>
          <w:p w14:paraId="2F1ACE4D" w14:textId="77777777" w:rsidR="00423D65" w:rsidRPr="00B64E68" w:rsidRDefault="00423D65" w:rsidP="0057476A">
            <w:pPr>
              <w:spacing w:after="80"/>
              <w:jc w:val="both"/>
              <w:rPr>
                <w:rFonts w:ascii="Times New Roman" w:eastAsia="Calibri" w:hAnsi="Times New Roman" w:cs="Times New Roman"/>
                <w:sz w:val="24"/>
                <w:szCs w:val="24"/>
              </w:rPr>
            </w:pPr>
          </w:p>
          <w:p w14:paraId="32693DDC" w14:textId="77777777" w:rsidR="00423D65" w:rsidRPr="00B64E68" w:rsidRDefault="00423D65" w:rsidP="0057476A">
            <w:pPr>
              <w:spacing w:after="80"/>
              <w:jc w:val="both"/>
              <w:rPr>
                <w:rFonts w:ascii="Times New Roman" w:eastAsia="Calibri" w:hAnsi="Times New Roman" w:cs="Times New Roman"/>
                <w:sz w:val="24"/>
                <w:szCs w:val="24"/>
              </w:rPr>
            </w:pPr>
          </w:p>
          <w:p w14:paraId="0A76EB41" w14:textId="77777777" w:rsidR="00423D65" w:rsidRPr="00B64E68" w:rsidRDefault="00423D65" w:rsidP="0057476A">
            <w:pPr>
              <w:spacing w:after="80"/>
              <w:jc w:val="both"/>
              <w:rPr>
                <w:rFonts w:ascii="Times New Roman" w:eastAsia="Calibri" w:hAnsi="Times New Roman" w:cs="Times New Roman"/>
                <w:sz w:val="24"/>
                <w:szCs w:val="24"/>
              </w:rPr>
            </w:pPr>
          </w:p>
          <w:p w14:paraId="0F2BD749" w14:textId="77777777" w:rsidR="00423D65" w:rsidRPr="00B64E68" w:rsidRDefault="00423D65" w:rsidP="0057476A">
            <w:pPr>
              <w:spacing w:after="80"/>
              <w:jc w:val="both"/>
              <w:rPr>
                <w:rFonts w:ascii="Times New Roman" w:eastAsia="Calibri" w:hAnsi="Times New Roman" w:cs="Times New Roman"/>
                <w:sz w:val="24"/>
                <w:szCs w:val="24"/>
              </w:rPr>
            </w:pPr>
          </w:p>
          <w:p w14:paraId="1FEEC79D" w14:textId="77777777" w:rsidR="00423D65" w:rsidRPr="00B64E68" w:rsidRDefault="00423D65" w:rsidP="0057476A">
            <w:pPr>
              <w:spacing w:after="80"/>
              <w:jc w:val="both"/>
              <w:rPr>
                <w:rFonts w:ascii="Times New Roman" w:eastAsia="Calibri" w:hAnsi="Times New Roman" w:cs="Times New Roman"/>
                <w:sz w:val="24"/>
                <w:szCs w:val="24"/>
              </w:rPr>
            </w:pPr>
          </w:p>
          <w:p w14:paraId="266C9F70" w14:textId="77777777" w:rsidR="00423D65" w:rsidRPr="00B64E68" w:rsidRDefault="00423D65" w:rsidP="0057476A">
            <w:pPr>
              <w:spacing w:after="80"/>
              <w:jc w:val="both"/>
              <w:rPr>
                <w:rFonts w:ascii="Times New Roman" w:eastAsia="Calibri" w:hAnsi="Times New Roman" w:cs="Times New Roman"/>
                <w:sz w:val="24"/>
                <w:szCs w:val="24"/>
              </w:rPr>
            </w:pPr>
          </w:p>
          <w:p w14:paraId="302D5784" w14:textId="77777777" w:rsidR="00423D65" w:rsidRPr="00B64E68" w:rsidRDefault="00423D65" w:rsidP="0057476A">
            <w:pPr>
              <w:spacing w:after="80"/>
              <w:jc w:val="both"/>
              <w:rPr>
                <w:rFonts w:ascii="Times New Roman" w:eastAsia="Calibri" w:hAnsi="Times New Roman" w:cs="Times New Roman"/>
                <w:sz w:val="24"/>
                <w:szCs w:val="24"/>
              </w:rPr>
            </w:pPr>
          </w:p>
          <w:p w14:paraId="568335E6" w14:textId="77777777" w:rsidR="00423D65" w:rsidRPr="00B64E68" w:rsidRDefault="00423D65" w:rsidP="0057476A">
            <w:pPr>
              <w:spacing w:after="80"/>
              <w:jc w:val="both"/>
              <w:rPr>
                <w:rFonts w:ascii="Times New Roman" w:eastAsia="Calibri" w:hAnsi="Times New Roman" w:cs="Times New Roman"/>
                <w:sz w:val="24"/>
                <w:szCs w:val="24"/>
              </w:rPr>
            </w:pPr>
          </w:p>
          <w:p w14:paraId="3265AC2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In August 2023, Liberia adopted new BO regulation134 which require companies to disclose information about their beneficial or ultimate owners in a new central register, including names, addresses, and ownership stakes.</w:t>
            </w:r>
          </w:p>
          <w:p w14:paraId="018A9962"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purpose of this regulation is to provide for the basis for the application of matters on beneficial ownership disclosure as prescribed by the Associations Law of Liberia, Title 5. Specifically, this Regulation provides the basis for the collection, processing, verification, publication, and accessibility to the information of beneficial owners of all entities that are created, organized, registered, or incorporated under the laws of the Republic of Liberia as well as foreign entities, businesses and companies that are authorized to do </w:t>
            </w:r>
            <w:r w:rsidRPr="00B64E68">
              <w:rPr>
                <w:rFonts w:ascii="Times New Roman" w:eastAsia="Calibri" w:hAnsi="Times New Roman" w:cs="Times New Roman"/>
                <w:sz w:val="24"/>
                <w:szCs w:val="24"/>
              </w:rPr>
              <w:lastRenderedPageBreak/>
              <w:t>business within Liberia. The Regulation also prescribes sanctions for non-compliance.</w:t>
            </w:r>
          </w:p>
          <w:p w14:paraId="3D2AFB13" w14:textId="77777777" w:rsidR="00423D65" w:rsidRPr="00B64E68" w:rsidRDefault="00423D65" w:rsidP="0057476A">
            <w:pPr>
              <w:spacing w:after="80"/>
              <w:jc w:val="both"/>
              <w:rPr>
                <w:rFonts w:ascii="Times New Roman" w:eastAsia="Calibri" w:hAnsi="Times New Roman" w:cs="Times New Roman"/>
                <w:sz w:val="24"/>
                <w:szCs w:val="24"/>
              </w:rPr>
            </w:pPr>
          </w:p>
          <w:p w14:paraId="34EEE3C4" w14:textId="77777777" w:rsidR="00423D65" w:rsidRPr="00B64E68" w:rsidRDefault="00423D65" w:rsidP="0057476A">
            <w:pPr>
              <w:spacing w:after="80"/>
              <w:jc w:val="both"/>
              <w:rPr>
                <w:rFonts w:ascii="Times New Roman" w:eastAsia="Calibri" w:hAnsi="Times New Roman" w:cs="Times New Roman"/>
                <w:sz w:val="24"/>
                <w:szCs w:val="24"/>
              </w:rPr>
            </w:pPr>
          </w:p>
          <w:p w14:paraId="56014EF0" w14:textId="366D6012" w:rsidR="00423D65" w:rsidRDefault="00217D6A"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From LEITI’s</w:t>
            </w:r>
            <w:r w:rsidR="00423D65" w:rsidRPr="00B64E68">
              <w:rPr>
                <w:rFonts w:ascii="Times New Roman" w:eastAsia="Calibri" w:hAnsi="Times New Roman" w:cs="Times New Roman"/>
                <w:sz w:val="24"/>
                <w:szCs w:val="24"/>
              </w:rPr>
              <w:t xml:space="preserve"> 12</w:t>
            </w:r>
            <w:r w:rsidR="00423D65" w:rsidRPr="00B64E68">
              <w:rPr>
                <w:rFonts w:ascii="Times New Roman" w:eastAsia="Calibri" w:hAnsi="Times New Roman" w:cs="Times New Roman"/>
                <w:sz w:val="24"/>
                <w:szCs w:val="24"/>
                <w:vertAlign w:val="superscript"/>
              </w:rPr>
              <w:t>th</w:t>
            </w:r>
            <w:r w:rsidR="00423D65" w:rsidRPr="00B64E68">
              <w:rPr>
                <w:rFonts w:ascii="Times New Roman" w:eastAsia="Calibri" w:hAnsi="Times New Roman" w:cs="Times New Roman"/>
                <w:sz w:val="24"/>
                <w:szCs w:val="24"/>
              </w:rPr>
              <w:t xml:space="preserve"> report until the latest, </w:t>
            </w:r>
            <w:r w:rsidRPr="00B64E68">
              <w:rPr>
                <w:rFonts w:ascii="Times New Roman" w:eastAsia="Calibri" w:hAnsi="Times New Roman" w:cs="Times New Roman"/>
                <w:sz w:val="24"/>
                <w:szCs w:val="24"/>
              </w:rPr>
              <w:t>there information</w:t>
            </w:r>
            <w:r w:rsidR="00423D65" w:rsidRPr="00B64E68">
              <w:rPr>
                <w:rFonts w:ascii="Times New Roman" w:eastAsia="Calibri" w:hAnsi="Times New Roman" w:cs="Times New Roman"/>
                <w:sz w:val="24"/>
                <w:szCs w:val="24"/>
              </w:rPr>
              <w:t xml:space="preserve"> on beneficial ownership.  However, Liberia is launched a BO register which </w:t>
            </w:r>
            <w:r w:rsidRPr="00B64E68">
              <w:rPr>
                <w:rFonts w:ascii="Times New Roman" w:eastAsia="Calibri" w:hAnsi="Times New Roman" w:cs="Times New Roman"/>
                <w:sz w:val="24"/>
                <w:szCs w:val="24"/>
              </w:rPr>
              <w:t>operationalization</w:t>
            </w:r>
            <w:r w:rsidR="00423D65" w:rsidRPr="00B64E68">
              <w:rPr>
                <w:rFonts w:ascii="Times New Roman" w:eastAsia="Calibri" w:hAnsi="Times New Roman" w:cs="Times New Roman"/>
                <w:sz w:val="24"/>
                <w:szCs w:val="24"/>
              </w:rPr>
              <w:t xml:space="preserve"> is underway.</w:t>
            </w:r>
          </w:p>
          <w:p w14:paraId="0CF44E63" w14:textId="58A6C61E" w:rsidR="00217D6A" w:rsidRPr="00B64E68" w:rsidRDefault="00217D6A"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Also, Liberia published a National Beneficial Ownership Regulation for Domestic Entities, preliminarily launched its National Beneficial Ownership Registry, </w:t>
            </w:r>
            <w:r w:rsidR="00385AAC">
              <w:rPr>
                <w:rFonts w:ascii="Times New Roman" w:eastAsia="Calibri" w:hAnsi="Times New Roman" w:cs="Times New Roman"/>
                <w:sz w:val="24"/>
                <w:szCs w:val="24"/>
              </w:rPr>
              <w:t xml:space="preserve">established a National Steering Committee on Beneficial Ownership Implementation, </w:t>
            </w:r>
            <w:r>
              <w:rPr>
                <w:rFonts w:ascii="Times New Roman" w:eastAsia="Calibri" w:hAnsi="Times New Roman" w:cs="Times New Roman"/>
                <w:sz w:val="24"/>
                <w:szCs w:val="24"/>
              </w:rPr>
              <w:t xml:space="preserve">Developed Guidance Notes, </w:t>
            </w:r>
            <w:proofErr w:type="gramStart"/>
            <w:r>
              <w:rPr>
                <w:rFonts w:ascii="Times New Roman" w:eastAsia="Calibri" w:hAnsi="Times New Roman" w:cs="Times New Roman"/>
                <w:sz w:val="24"/>
                <w:szCs w:val="24"/>
              </w:rPr>
              <w:t>Developed</w:t>
            </w:r>
            <w:proofErr w:type="gramEnd"/>
            <w:r>
              <w:rPr>
                <w:rFonts w:ascii="Times New Roman" w:eastAsia="Calibri" w:hAnsi="Times New Roman" w:cs="Times New Roman"/>
                <w:sz w:val="24"/>
                <w:szCs w:val="24"/>
              </w:rPr>
              <w:t xml:space="preserve"> a Multi-Pronged Beneficial Ownership Workplan, LEITI has included on its data portal segments for the collection of legal and beneficial owners, and continued capacity building for relevant stakeholders. </w:t>
            </w:r>
          </w:p>
          <w:p w14:paraId="0B3E28D4" w14:textId="77777777" w:rsidR="00423D65" w:rsidRPr="00B64E68" w:rsidRDefault="00423D65" w:rsidP="0057476A">
            <w:pPr>
              <w:spacing w:after="80"/>
              <w:jc w:val="both"/>
              <w:rPr>
                <w:rFonts w:ascii="Times New Roman" w:eastAsia="Calibri" w:hAnsi="Times New Roman" w:cs="Times New Roman"/>
                <w:sz w:val="24"/>
                <w:szCs w:val="24"/>
              </w:rPr>
            </w:pPr>
          </w:p>
          <w:p w14:paraId="6AB1061C" w14:textId="77777777" w:rsidR="00423D65" w:rsidRPr="00B64E68" w:rsidRDefault="00423D65" w:rsidP="0057476A">
            <w:pPr>
              <w:spacing w:after="80"/>
              <w:jc w:val="both"/>
              <w:rPr>
                <w:rFonts w:ascii="Times New Roman" w:eastAsia="Calibri" w:hAnsi="Times New Roman" w:cs="Times New Roman"/>
                <w:sz w:val="24"/>
                <w:szCs w:val="24"/>
              </w:rPr>
            </w:pPr>
          </w:p>
          <w:p w14:paraId="244449BF" w14:textId="77777777" w:rsidR="00423D65" w:rsidRPr="00B64E68" w:rsidRDefault="00423D65" w:rsidP="0057476A">
            <w:pPr>
              <w:spacing w:after="80"/>
              <w:jc w:val="both"/>
              <w:rPr>
                <w:rFonts w:ascii="Times New Roman" w:eastAsia="Calibri" w:hAnsi="Times New Roman" w:cs="Times New Roman"/>
                <w:sz w:val="24"/>
                <w:szCs w:val="24"/>
              </w:rPr>
            </w:pPr>
          </w:p>
          <w:p w14:paraId="6ACDFB9A" w14:textId="77777777" w:rsidR="00423D65" w:rsidRPr="00B64E68" w:rsidRDefault="00423D65" w:rsidP="0057476A">
            <w:pPr>
              <w:spacing w:after="80"/>
              <w:jc w:val="both"/>
              <w:rPr>
                <w:rFonts w:ascii="Times New Roman" w:eastAsia="Calibri" w:hAnsi="Times New Roman" w:cs="Times New Roman"/>
                <w:sz w:val="24"/>
                <w:szCs w:val="24"/>
              </w:rPr>
            </w:pPr>
          </w:p>
          <w:p w14:paraId="7B3A2D44" w14:textId="77777777" w:rsidR="00423D65" w:rsidRPr="00B64E68" w:rsidRDefault="00423D65" w:rsidP="0057476A">
            <w:pPr>
              <w:spacing w:after="80"/>
              <w:jc w:val="both"/>
              <w:rPr>
                <w:rFonts w:ascii="Times New Roman" w:eastAsia="Calibri" w:hAnsi="Times New Roman" w:cs="Times New Roman"/>
                <w:sz w:val="24"/>
                <w:szCs w:val="24"/>
              </w:rPr>
            </w:pPr>
          </w:p>
          <w:p w14:paraId="01E78052" w14:textId="77777777" w:rsidR="00423D65" w:rsidRPr="00B64E68" w:rsidRDefault="00423D65" w:rsidP="0057476A">
            <w:pPr>
              <w:spacing w:after="80"/>
              <w:jc w:val="both"/>
              <w:rPr>
                <w:rFonts w:ascii="Times New Roman" w:eastAsia="Calibri" w:hAnsi="Times New Roman" w:cs="Times New Roman"/>
                <w:sz w:val="24"/>
                <w:szCs w:val="24"/>
              </w:rPr>
            </w:pPr>
          </w:p>
          <w:p w14:paraId="29326B95" w14:textId="77777777" w:rsidR="00423D65" w:rsidRPr="00B64E68" w:rsidRDefault="00423D65" w:rsidP="0057476A">
            <w:pPr>
              <w:spacing w:after="80"/>
              <w:jc w:val="both"/>
              <w:rPr>
                <w:rFonts w:ascii="Times New Roman" w:eastAsia="Calibri" w:hAnsi="Times New Roman" w:cs="Times New Roman"/>
                <w:sz w:val="24"/>
                <w:szCs w:val="24"/>
              </w:rPr>
            </w:pPr>
          </w:p>
          <w:p w14:paraId="0E5609E7" w14:textId="77777777" w:rsidR="00423D65" w:rsidRPr="00B64E68" w:rsidRDefault="00423D65" w:rsidP="0057476A">
            <w:pPr>
              <w:spacing w:after="80"/>
              <w:jc w:val="both"/>
              <w:rPr>
                <w:rFonts w:ascii="Times New Roman" w:eastAsia="Calibri" w:hAnsi="Times New Roman" w:cs="Times New Roman"/>
                <w:sz w:val="24"/>
                <w:szCs w:val="24"/>
              </w:rPr>
            </w:pPr>
          </w:p>
          <w:p w14:paraId="15C69413" w14:textId="77777777" w:rsidR="00423D65" w:rsidRPr="00B64E68" w:rsidRDefault="00423D65" w:rsidP="0057476A">
            <w:pPr>
              <w:spacing w:after="80"/>
              <w:jc w:val="both"/>
              <w:rPr>
                <w:rFonts w:ascii="Times New Roman" w:eastAsia="Calibri" w:hAnsi="Times New Roman" w:cs="Times New Roman"/>
                <w:sz w:val="24"/>
                <w:szCs w:val="24"/>
              </w:rPr>
            </w:pPr>
          </w:p>
          <w:p w14:paraId="7E2B565E" w14:textId="77777777" w:rsidR="00423D65" w:rsidRPr="00B64E68" w:rsidRDefault="00423D65" w:rsidP="0057476A">
            <w:pPr>
              <w:spacing w:after="80"/>
              <w:jc w:val="both"/>
              <w:rPr>
                <w:rFonts w:ascii="Times New Roman" w:eastAsia="Calibri" w:hAnsi="Times New Roman" w:cs="Times New Roman"/>
                <w:sz w:val="24"/>
                <w:szCs w:val="24"/>
              </w:rPr>
            </w:pPr>
          </w:p>
          <w:p w14:paraId="5F9D6090" w14:textId="77777777" w:rsidR="00423D65" w:rsidRPr="00B64E68" w:rsidRDefault="00423D65" w:rsidP="0057476A">
            <w:pPr>
              <w:spacing w:after="80"/>
              <w:jc w:val="both"/>
              <w:rPr>
                <w:rFonts w:ascii="Times New Roman" w:eastAsia="Calibri" w:hAnsi="Times New Roman" w:cs="Times New Roman"/>
                <w:sz w:val="24"/>
                <w:szCs w:val="24"/>
              </w:rPr>
            </w:pPr>
          </w:p>
          <w:p w14:paraId="338E5D70" w14:textId="77777777" w:rsidR="00423D65" w:rsidRPr="00B64E68" w:rsidRDefault="00423D65" w:rsidP="0057476A">
            <w:pPr>
              <w:spacing w:after="80"/>
              <w:jc w:val="both"/>
              <w:rPr>
                <w:rFonts w:ascii="Times New Roman" w:eastAsia="Calibri" w:hAnsi="Times New Roman" w:cs="Times New Roman"/>
                <w:sz w:val="24"/>
                <w:szCs w:val="24"/>
              </w:rPr>
            </w:pPr>
          </w:p>
          <w:p w14:paraId="77A36574" w14:textId="77777777" w:rsidR="00423D65" w:rsidRPr="00B64E68" w:rsidRDefault="00423D65" w:rsidP="0057476A">
            <w:pPr>
              <w:spacing w:after="80"/>
              <w:jc w:val="both"/>
              <w:rPr>
                <w:rFonts w:ascii="Times New Roman" w:eastAsia="Calibri" w:hAnsi="Times New Roman" w:cs="Times New Roman"/>
                <w:sz w:val="24"/>
                <w:szCs w:val="24"/>
              </w:rPr>
            </w:pPr>
          </w:p>
          <w:p w14:paraId="52781630" w14:textId="77777777" w:rsidR="00423D65" w:rsidRPr="00B64E68" w:rsidRDefault="00423D65" w:rsidP="0057476A">
            <w:pPr>
              <w:spacing w:after="80"/>
              <w:jc w:val="both"/>
              <w:rPr>
                <w:rFonts w:ascii="Times New Roman" w:eastAsia="Calibri" w:hAnsi="Times New Roman" w:cs="Times New Roman"/>
                <w:sz w:val="24"/>
                <w:szCs w:val="24"/>
              </w:rPr>
            </w:pPr>
          </w:p>
          <w:p w14:paraId="63F823CD" w14:textId="77777777" w:rsidR="00423D65" w:rsidRPr="00B64E68" w:rsidRDefault="00423D65" w:rsidP="0057476A">
            <w:pPr>
              <w:spacing w:after="80"/>
              <w:jc w:val="both"/>
              <w:rPr>
                <w:rFonts w:ascii="Times New Roman" w:eastAsia="Calibri" w:hAnsi="Times New Roman" w:cs="Times New Roman"/>
                <w:sz w:val="24"/>
                <w:szCs w:val="24"/>
              </w:rPr>
            </w:pPr>
          </w:p>
          <w:p w14:paraId="41824CAF" w14:textId="77777777" w:rsidR="00423D65" w:rsidRPr="00B64E68" w:rsidRDefault="00423D65" w:rsidP="0057476A">
            <w:pPr>
              <w:spacing w:after="80"/>
              <w:jc w:val="both"/>
              <w:rPr>
                <w:rFonts w:ascii="Times New Roman" w:eastAsia="Calibri" w:hAnsi="Times New Roman" w:cs="Times New Roman"/>
                <w:sz w:val="24"/>
                <w:szCs w:val="24"/>
              </w:rPr>
            </w:pPr>
          </w:p>
          <w:p w14:paraId="3EC4ADEA" w14:textId="77777777" w:rsidR="00423D65" w:rsidRPr="00B64E68" w:rsidRDefault="00423D65" w:rsidP="0057476A">
            <w:pPr>
              <w:spacing w:after="80"/>
              <w:jc w:val="both"/>
              <w:rPr>
                <w:rFonts w:ascii="Times New Roman" w:eastAsia="Calibri" w:hAnsi="Times New Roman" w:cs="Times New Roman"/>
                <w:sz w:val="24"/>
                <w:szCs w:val="24"/>
              </w:rPr>
            </w:pPr>
          </w:p>
          <w:p w14:paraId="1A50C9C5" w14:textId="77777777" w:rsidR="00423D65" w:rsidRPr="00B64E68" w:rsidRDefault="00423D65" w:rsidP="0057476A">
            <w:pPr>
              <w:spacing w:after="80"/>
              <w:jc w:val="both"/>
              <w:rPr>
                <w:rFonts w:ascii="Times New Roman" w:eastAsia="Calibri" w:hAnsi="Times New Roman" w:cs="Times New Roman"/>
                <w:sz w:val="24"/>
                <w:szCs w:val="24"/>
              </w:rPr>
            </w:pPr>
          </w:p>
          <w:p w14:paraId="2859434A" w14:textId="77777777" w:rsidR="00423D65" w:rsidRPr="00B64E68" w:rsidRDefault="00423D65" w:rsidP="0057476A">
            <w:pPr>
              <w:spacing w:after="80"/>
              <w:jc w:val="both"/>
              <w:rPr>
                <w:rFonts w:ascii="Times New Roman" w:eastAsia="Calibri" w:hAnsi="Times New Roman" w:cs="Times New Roman"/>
                <w:sz w:val="24"/>
                <w:szCs w:val="24"/>
              </w:rPr>
            </w:pPr>
          </w:p>
          <w:p w14:paraId="0377349F" w14:textId="77777777" w:rsidR="00423D65" w:rsidRPr="00B64E68" w:rsidRDefault="00423D65" w:rsidP="0057476A">
            <w:pPr>
              <w:spacing w:after="80"/>
              <w:jc w:val="both"/>
              <w:rPr>
                <w:rFonts w:ascii="Times New Roman" w:eastAsia="Calibri" w:hAnsi="Times New Roman" w:cs="Times New Roman"/>
                <w:sz w:val="24"/>
                <w:szCs w:val="24"/>
              </w:rPr>
            </w:pPr>
          </w:p>
          <w:p w14:paraId="0F2A56DC" w14:textId="77777777" w:rsidR="00423D65" w:rsidRPr="00B64E68" w:rsidRDefault="00423D65" w:rsidP="0057476A">
            <w:pPr>
              <w:spacing w:after="80"/>
              <w:jc w:val="both"/>
              <w:rPr>
                <w:rFonts w:ascii="Times New Roman" w:eastAsia="Calibri" w:hAnsi="Times New Roman" w:cs="Times New Roman"/>
                <w:sz w:val="24"/>
                <w:szCs w:val="24"/>
              </w:rPr>
            </w:pPr>
          </w:p>
          <w:p w14:paraId="6652F802" w14:textId="77777777" w:rsidR="00423D65" w:rsidRPr="00B64E68" w:rsidRDefault="00423D65" w:rsidP="0057476A">
            <w:pPr>
              <w:spacing w:after="80"/>
              <w:jc w:val="both"/>
              <w:rPr>
                <w:rFonts w:ascii="Times New Roman" w:eastAsia="Calibri" w:hAnsi="Times New Roman" w:cs="Times New Roman"/>
                <w:sz w:val="24"/>
                <w:szCs w:val="24"/>
              </w:rPr>
            </w:pPr>
          </w:p>
          <w:p w14:paraId="18014683" w14:textId="77777777" w:rsidR="00423D65" w:rsidRPr="00B64E68" w:rsidRDefault="00423D65" w:rsidP="0057476A">
            <w:pPr>
              <w:spacing w:after="80"/>
              <w:jc w:val="both"/>
              <w:rPr>
                <w:rFonts w:ascii="Times New Roman" w:eastAsia="Calibri" w:hAnsi="Times New Roman" w:cs="Times New Roman"/>
                <w:sz w:val="24"/>
                <w:szCs w:val="24"/>
              </w:rPr>
            </w:pPr>
          </w:p>
          <w:p w14:paraId="03FAC4A5" w14:textId="77777777" w:rsidR="00423D65" w:rsidRPr="00B64E68" w:rsidRDefault="00423D65" w:rsidP="0057476A">
            <w:pPr>
              <w:spacing w:after="80"/>
              <w:jc w:val="both"/>
              <w:rPr>
                <w:rFonts w:ascii="Times New Roman" w:eastAsia="Calibri" w:hAnsi="Times New Roman" w:cs="Times New Roman"/>
                <w:sz w:val="24"/>
                <w:szCs w:val="24"/>
              </w:rPr>
            </w:pPr>
          </w:p>
          <w:p w14:paraId="46569222" w14:textId="77777777" w:rsidR="00423D65" w:rsidRPr="00B64E68" w:rsidRDefault="00423D65" w:rsidP="0057476A">
            <w:pPr>
              <w:spacing w:after="80"/>
              <w:jc w:val="both"/>
              <w:rPr>
                <w:rFonts w:ascii="Times New Roman" w:eastAsia="Calibri" w:hAnsi="Times New Roman" w:cs="Times New Roman"/>
                <w:sz w:val="24"/>
                <w:szCs w:val="24"/>
              </w:rPr>
            </w:pPr>
          </w:p>
          <w:p w14:paraId="0230F1EE" w14:textId="77777777" w:rsidR="00423D65" w:rsidRPr="00B64E68" w:rsidRDefault="00423D65" w:rsidP="0057476A">
            <w:pPr>
              <w:spacing w:after="80"/>
              <w:jc w:val="both"/>
              <w:rPr>
                <w:rFonts w:ascii="Times New Roman" w:eastAsia="Calibri" w:hAnsi="Times New Roman" w:cs="Times New Roman"/>
                <w:sz w:val="24"/>
                <w:szCs w:val="24"/>
              </w:rPr>
            </w:pPr>
          </w:p>
          <w:p w14:paraId="2ABDE731" w14:textId="77777777" w:rsidR="00423D65" w:rsidRPr="00B64E68" w:rsidRDefault="00423D65" w:rsidP="0057476A">
            <w:pPr>
              <w:spacing w:after="80"/>
              <w:jc w:val="both"/>
              <w:rPr>
                <w:rFonts w:ascii="Times New Roman" w:eastAsia="Calibri" w:hAnsi="Times New Roman" w:cs="Times New Roman"/>
                <w:sz w:val="24"/>
                <w:szCs w:val="24"/>
              </w:rPr>
            </w:pPr>
          </w:p>
          <w:p w14:paraId="525B1154" w14:textId="77777777" w:rsidR="00423D65" w:rsidRPr="00B64E68" w:rsidRDefault="00423D65" w:rsidP="0057476A">
            <w:pPr>
              <w:spacing w:after="80"/>
              <w:jc w:val="both"/>
              <w:rPr>
                <w:rFonts w:ascii="Times New Roman" w:eastAsia="Calibri" w:hAnsi="Times New Roman" w:cs="Times New Roman"/>
                <w:sz w:val="24"/>
                <w:szCs w:val="24"/>
              </w:rPr>
            </w:pPr>
          </w:p>
          <w:p w14:paraId="0AB49BC9" w14:textId="77777777" w:rsidR="00423D65" w:rsidRPr="00B64E68" w:rsidRDefault="00423D65" w:rsidP="0057476A">
            <w:pPr>
              <w:spacing w:after="80"/>
              <w:jc w:val="both"/>
              <w:rPr>
                <w:rFonts w:ascii="Times New Roman" w:eastAsia="Calibri" w:hAnsi="Times New Roman" w:cs="Times New Roman"/>
                <w:sz w:val="24"/>
                <w:szCs w:val="24"/>
              </w:rPr>
            </w:pPr>
          </w:p>
          <w:p w14:paraId="4DC92072" w14:textId="77777777" w:rsidR="00423D65" w:rsidRPr="00B64E68" w:rsidRDefault="00423D65" w:rsidP="0057476A">
            <w:pPr>
              <w:spacing w:after="80"/>
              <w:jc w:val="both"/>
              <w:rPr>
                <w:rFonts w:ascii="Times New Roman" w:eastAsia="Calibri" w:hAnsi="Times New Roman" w:cs="Times New Roman"/>
                <w:sz w:val="24"/>
                <w:szCs w:val="24"/>
              </w:rPr>
            </w:pPr>
          </w:p>
          <w:p w14:paraId="37EE989F" w14:textId="77777777" w:rsidR="00423D65" w:rsidRPr="00B64E68" w:rsidRDefault="00423D65" w:rsidP="0057476A">
            <w:pPr>
              <w:spacing w:after="80"/>
              <w:jc w:val="both"/>
              <w:rPr>
                <w:rFonts w:ascii="Times New Roman" w:eastAsia="Calibri" w:hAnsi="Times New Roman" w:cs="Times New Roman"/>
                <w:sz w:val="24"/>
                <w:szCs w:val="24"/>
              </w:rPr>
            </w:pPr>
          </w:p>
          <w:p w14:paraId="244CC5CF" w14:textId="77777777" w:rsidR="007F33BF" w:rsidRDefault="007F33BF" w:rsidP="0057476A">
            <w:pPr>
              <w:spacing w:after="80"/>
              <w:jc w:val="both"/>
              <w:rPr>
                <w:rFonts w:ascii="Times New Roman" w:eastAsia="Calibri" w:hAnsi="Times New Roman" w:cs="Times New Roman"/>
                <w:sz w:val="24"/>
                <w:szCs w:val="24"/>
              </w:rPr>
            </w:pPr>
          </w:p>
          <w:p w14:paraId="2482904F" w14:textId="77777777" w:rsidR="007F33BF" w:rsidRDefault="007F33BF" w:rsidP="0057476A">
            <w:pPr>
              <w:spacing w:after="80"/>
              <w:jc w:val="both"/>
              <w:rPr>
                <w:rFonts w:ascii="Times New Roman" w:eastAsia="Calibri" w:hAnsi="Times New Roman" w:cs="Times New Roman"/>
                <w:sz w:val="24"/>
                <w:szCs w:val="24"/>
              </w:rPr>
            </w:pPr>
          </w:p>
          <w:p w14:paraId="18E1E447" w14:textId="77777777" w:rsidR="007F33BF" w:rsidRDefault="007F33BF" w:rsidP="0057476A">
            <w:pPr>
              <w:spacing w:after="80"/>
              <w:jc w:val="both"/>
              <w:rPr>
                <w:rFonts w:ascii="Times New Roman" w:eastAsia="Calibri" w:hAnsi="Times New Roman" w:cs="Times New Roman"/>
                <w:sz w:val="24"/>
                <w:szCs w:val="24"/>
              </w:rPr>
            </w:pPr>
          </w:p>
          <w:p w14:paraId="55C9B51D" w14:textId="77777777" w:rsidR="007F33BF" w:rsidRDefault="007F33BF" w:rsidP="0057476A">
            <w:pPr>
              <w:spacing w:after="80"/>
              <w:jc w:val="both"/>
              <w:rPr>
                <w:rFonts w:ascii="Times New Roman" w:eastAsia="Calibri" w:hAnsi="Times New Roman" w:cs="Times New Roman"/>
                <w:sz w:val="24"/>
                <w:szCs w:val="24"/>
              </w:rPr>
            </w:pPr>
          </w:p>
          <w:p w14:paraId="51C31925" w14:textId="77777777" w:rsidR="007F33BF" w:rsidRDefault="007F33BF" w:rsidP="0057476A">
            <w:pPr>
              <w:spacing w:after="80"/>
              <w:jc w:val="both"/>
              <w:rPr>
                <w:rFonts w:ascii="Times New Roman" w:eastAsia="Calibri" w:hAnsi="Times New Roman" w:cs="Times New Roman"/>
                <w:sz w:val="24"/>
                <w:szCs w:val="24"/>
              </w:rPr>
            </w:pPr>
          </w:p>
          <w:p w14:paraId="10C9526A" w14:textId="77777777" w:rsidR="007F33BF" w:rsidRDefault="007F33BF" w:rsidP="0057476A">
            <w:pPr>
              <w:spacing w:after="80"/>
              <w:jc w:val="both"/>
              <w:rPr>
                <w:rFonts w:ascii="Times New Roman" w:eastAsia="Calibri" w:hAnsi="Times New Roman" w:cs="Times New Roman"/>
                <w:sz w:val="24"/>
                <w:szCs w:val="24"/>
              </w:rPr>
            </w:pPr>
          </w:p>
          <w:p w14:paraId="318A49FE" w14:textId="77777777" w:rsidR="007F33BF" w:rsidRDefault="007F33BF" w:rsidP="0057476A">
            <w:pPr>
              <w:spacing w:after="80"/>
              <w:jc w:val="both"/>
              <w:rPr>
                <w:rFonts w:ascii="Times New Roman" w:eastAsia="Calibri" w:hAnsi="Times New Roman" w:cs="Times New Roman"/>
                <w:sz w:val="24"/>
                <w:szCs w:val="24"/>
              </w:rPr>
            </w:pPr>
          </w:p>
          <w:p w14:paraId="00C171D5" w14:textId="77777777" w:rsidR="007F33BF" w:rsidRDefault="007F33BF" w:rsidP="0057476A">
            <w:pPr>
              <w:spacing w:after="80"/>
              <w:jc w:val="both"/>
              <w:rPr>
                <w:rFonts w:ascii="Times New Roman" w:eastAsia="Calibri" w:hAnsi="Times New Roman" w:cs="Times New Roman"/>
                <w:sz w:val="24"/>
                <w:szCs w:val="24"/>
              </w:rPr>
            </w:pPr>
          </w:p>
          <w:p w14:paraId="4E79A103" w14:textId="77777777" w:rsidR="007F33BF" w:rsidRDefault="007F33BF" w:rsidP="0057476A">
            <w:pPr>
              <w:spacing w:after="80"/>
              <w:jc w:val="both"/>
              <w:rPr>
                <w:rFonts w:ascii="Times New Roman" w:eastAsia="Calibri" w:hAnsi="Times New Roman" w:cs="Times New Roman"/>
                <w:sz w:val="24"/>
                <w:szCs w:val="24"/>
              </w:rPr>
            </w:pPr>
          </w:p>
          <w:p w14:paraId="6FD35ACD" w14:textId="77777777" w:rsidR="007F33BF" w:rsidRDefault="007F33BF" w:rsidP="0057476A">
            <w:pPr>
              <w:spacing w:after="80"/>
              <w:jc w:val="both"/>
              <w:rPr>
                <w:rFonts w:ascii="Times New Roman" w:eastAsia="Calibri" w:hAnsi="Times New Roman" w:cs="Times New Roman"/>
                <w:sz w:val="24"/>
                <w:szCs w:val="24"/>
              </w:rPr>
            </w:pPr>
          </w:p>
          <w:p w14:paraId="7434FB29" w14:textId="77777777" w:rsidR="007F33BF" w:rsidRDefault="007F33BF" w:rsidP="0057476A">
            <w:pPr>
              <w:spacing w:after="80"/>
              <w:jc w:val="both"/>
              <w:rPr>
                <w:rFonts w:ascii="Times New Roman" w:eastAsia="Calibri" w:hAnsi="Times New Roman" w:cs="Times New Roman"/>
                <w:sz w:val="24"/>
                <w:szCs w:val="24"/>
              </w:rPr>
            </w:pPr>
          </w:p>
          <w:p w14:paraId="66740B62" w14:textId="77777777" w:rsidR="007F33BF" w:rsidRDefault="007F33BF" w:rsidP="0057476A">
            <w:pPr>
              <w:spacing w:after="80"/>
              <w:jc w:val="both"/>
              <w:rPr>
                <w:rFonts w:ascii="Times New Roman" w:eastAsia="Calibri" w:hAnsi="Times New Roman" w:cs="Times New Roman"/>
                <w:sz w:val="24"/>
                <w:szCs w:val="24"/>
              </w:rPr>
            </w:pPr>
          </w:p>
          <w:p w14:paraId="6136949A" w14:textId="77777777" w:rsidR="007F33BF" w:rsidRDefault="007F33BF" w:rsidP="0057476A">
            <w:pPr>
              <w:spacing w:after="80"/>
              <w:jc w:val="both"/>
              <w:rPr>
                <w:rFonts w:ascii="Times New Roman" w:eastAsia="Calibri" w:hAnsi="Times New Roman" w:cs="Times New Roman"/>
                <w:sz w:val="24"/>
                <w:szCs w:val="24"/>
              </w:rPr>
            </w:pPr>
          </w:p>
          <w:p w14:paraId="5761D21E" w14:textId="6899AF8E"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NOCAL is the only state-owned enterprise (SOE) operating in Liberia's oil &amp; gas sector. NOCAL was set up in April 2000 by Liberia’s National Legislature for the purpose of holding all of the rights, titles, and interests of the </w:t>
            </w:r>
            <w:r w:rsidRPr="00B64E68">
              <w:rPr>
                <w:rFonts w:ascii="Times New Roman" w:eastAsia="Calibri" w:hAnsi="Times New Roman" w:cs="Times New Roman"/>
                <w:sz w:val="24"/>
                <w:szCs w:val="24"/>
              </w:rPr>
              <w:lastRenderedPageBreak/>
              <w:t>Republic of Liberia in the deposits and reserves of liquid and gaseous</w:t>
            </w:r>
            <w:r w:rsidRPr="00B64E68">
              <w:rPr>
                <w:rFonts w:ascii="Times New Roman" w:eastAsia="Calibri" w:hAnsi="Times New Roman" w:cs="Times New Roman"/>
                <w:sz w:val="24"/>
                <w:szCs w:val="24"/>
              </w:rPr>
              <w:br/>
              <w:t>hydrocarbons within the territorial limits of the Republic of Liberia, whether potential, proven, or actual, to facilitate the development of the oil and gas industry in the Republic of</w:t>
            </w:r>
            <w:r w:rsidRPr="00B64E68">
              <w:rPr>
                <w:rFonts w:ascii="Times New Roman" w:eastAsia="Calibri" w:hAnsi="Times New Roman" w:cs="Times New Roman"/>
                <w:sz w:val="24"/>
                <w:szCs w:val="24"/>
              </w:rPr>
              <w:br/>
              <w:t>Liberia.” The new petroleum law (Exploration and production) of 2014 indicates that the primary activities of NOCAL shall be the ownership and management of petroleum rights acquired by NOCAL according to petroleum agreements or production-sharing agreements whether as the sole participant or in conjunction with others and the conduct of such other petroleum operations on behalf of the State</w:t>
            </w:r>
            <w:r w:rsidRPr="00B64E68">
              <w:rPr>
                <w:rFonts w:ascii="Times New Roman" w:eastAsia="Calibri" w:hAnsi="Times New Roman" w:cs="Times New Roman"/>
                <w:sz w:val="24"/>
                <w:szCs w:val="24"/>
              </w:rPr>
              <w:br/>
              <w:t>As may from time to time be authorized by the Authority.</w:t>
            </w:r>
            <w:r w:rsidRPr="00B64E68">
              <w:rPr>
                <w:rFonts w:ascii="Times New Roman" w:eastAsia="Calibri" w:hAnsi="Times New Roman" w:cs="Times New Roman"/>
                <w:sz w:val="24"/>
                <w:szCs w:val="24"/>
              </w:rPr>
              <w:br/>
              <w:t>The new petroleum law (Exploration and production) of 2014 spelled out. Regulatory power has been transferred from NOCAL to the Liberia Petroleum Regulatory Authority (LPRA), which means licenses registry, production sharing contracts, bid Rounds, and contract awards are now handled by the LRPA. NOCAL now plays a commercial role instead.” The New Petroleum Act 2014 added that NOCAL should have the following additional functions:</w:t>
            </w:r>
            <w:r w:rsidRPr="00B64E68">
              <w:rPr>
                <w:rFonts w:ascii="Times New Roman" w:eastAsia="Calibri" w:hAnsi="Times New Roman" w:cs="Times New Roman"/>
                <w:sz w:val="24"/>
                <w:szCs w:val="24"/>
              </w:rPr>
              <w:br/>
              <w:t>(a) manage all participating interests in petroleum agreements acquired under citizen participation</w:t>
            </w:r>
            <w:r w:rsidRPr="00B64E68">
              <w:rPr>
                <w:rFonts w:ascii="Times New Roman" w:eastAsia="Calibri" w:hAnsi="Times New Roman" w:cs="Times New Roman"/>
                <w:sz w:val="24"/>
                <w:szCs w:val="24"/>
              </w:rPr>
              <w:br/>
              <w:t>provisions of any petroleum agreement or production sharing agreement;</w:t>
            </w:r>
            <w:r w:rsidRPr="00B64E68">
              <w:rPr>
                <w:rFonts w:ascii="Times New Roman" w:eastAsia="Calibri" w:hAnsi="Times New Roman" w:cs="Times New Roman"/>
                <w:sz w:val="24"/>
                <w:szCs w:val="24"/>
              </w:rPr>
              <w:br/>
              <w:t>(b) manage any contracts entered into by the State for the construction or operation of petroleum facilities used in petroleum operations that are to be owned by the State or required to be operated by the State;</w:t>
            </w:r>
            <w:r w:rsidRPr="00B64E68">
              <w:rPr>
                <w:rFonts w:ascii="Times New Roman" w:eastAsia="Calibri" w:hAnsi="Times New Roman" w:cs="Times New Roman"/>
                <w:sz w:val="24"/>
                <w:szCs w:val="24"/>
              </w:rPr>
              <w:br/>
              <w:t xml:space="preserve">(c) own or manage other assets of any kind, </w:t>
            </w:r>
            <w:r w:rsidRPr="00B64E68">
              <w:rPr>
                <w:rFonts w:ascii="Times New Roman" w:eastAsia="Calibri" w:hAnsi="Times New Roman" w:cs="Times New Roman"/>
                <w:sz w:val="24"/>
                <w:szCs w:val="24"/>
              </w:rPr>
              <w:lastRenderedPageBreak/>
              <w:t>necessary or useful in conducting commercial petroleum activities carried out by NOCAL according to this Act and the NOCAL Act;</w:t>
            </w:r>
            <w:r w:rsidRPr="00B64E68">
              <w:rPr>
                <w:rFonts w:ascii="Times New Roman" w:eastAsia="Calibri" w:hAnsi="Times New Roman" w:cs="Times New Roman"/>
                <w:sz w:val="24"/>
                <w:szCs w:val="24"/>
              </w:rPr>
              <w:br/>
              <w:t>(d) lift and market the State's entitlements of petroleum on account of the State's share of production according to the production sharing provisions of a petroleum agreement or production sharing agreement in the event such share is taken in kind under Section 31(1) of this Act;</w:t>
            </w:r>
            <w:r w:rsidRPr="00B64E68">
              <w:rPr>
                <w:rFonts w:ascii="Times New Roman" w:eastAsia="Calibri" w:hAnsi="Times New Roman" w:cs="Times New Roman"/>
                <w:sz w:val="24"/>
                <w:szCs w:val="24"/>
              </w:rPr>
              <w:br/>
              <w:t>(e) lift and market on behalf of any citizen’s participation interest referred to in clause (a) of this subsection 10.1</w:t>
            </w:r>
            <w:r w:rsidR="006A2584">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the petroleum shares accruing to such citizen’s participation interest;</w:t>
            </w:r>
            <w:r w:rsidRPr="00B64E68">
              <w:rPr>
                <w:rFonts w:ascii="Times New Roman" w:eastAsia="Calibri" w:hAnsi="Times New Roman" w:cs="Times New Roman"/>
                <w:sz w:val="24"/>
                <w:szCs w:val="24"/>
              </w:rPr>
              <w:br/>
              <w:t>(f) conduct or contract for and supervise, in compliance with Part IV of this Act, such geological, geophysical, and other technical studies as it may deem useful; and</w:t>
            </w:r>
            <w:r w:rsidRPr="00B64E68">
              <w:rPr>
                <w:rFonts w:ascii="Times New Roman" w:eastAsia="Calibri" w:hAnsi="Times New Roman" w:cs="Times New Roman"/>
                <w:sz w:val="24"/>
                <w:szCs w:val="24"/>
              </w:rPr>
              <w:br/>
              <w:t>(g) provide such technical assistance and advice as the Authority may request.</w:t>
            </w:r>
            <w:r w:rsidRPr="00B64E68">
              <w:rPr>
                <w:rFonts w:ascii="Times New Roman" w:eastAsia="Calibri" w:hAnsi="Times New Roman" w:cs="Times New Roman"/>
                <w:sz w:val="24"/>
                <w:szCs w:val="24"/>
              </w:rPr>
              <w:br/>
              <w:t>NOCAL may also participate in reconnaissance, exploration, development, and production activities in other jurisdictions at such time as it may have the resources and funds to do so.</w:t>
            </w:r>
            <w:r w:rsidRPr="00B64E68">
              <w:rPr>
                <w:rFonts w:ascii="Times New Roman" w:eastAsia="Calibri" w:hAnsi="Times New Roman" w:cs="Times New Roman"/>
                <w:sz w:val="24"/>
                <w:szCs w:val="24"/>
              </w:rPr>
              <w:br/>
              <w:t xml:space="preserve">Paragraph 14.1 of the Amended Petroleum Law 2019 (an Act to amend </w:t>
            </w:r>
            <w:r w:rsidR="006A2584">
              <w:rPr>
                <w:rFonts w:ascii="Times New Roman" w:eastAsia="Calibri" w:hAnsi="Times New Roman" w:cs="Times New Roman"/>
                <w:sz w:val="24"/>
                <w:szCs w:val="24"/>
              </w:rPr>
              <w:t>specific</w:t>
            </w:r>
            <w:r w:rsidRPr="00B64E68">
              <w:rPr>
                <w:rFonts w:ascii="Times New Roman" w:eastAsia="Calibri" w:hAnsi="Times New Roman" w:cs="Times New Roman"/>
                <w:sz w:val="24"/>
                <w:szCs w:val="24"/>
              </w:rPr>
              <w:t xml:space="preserve"> provisions of the new</w:t>
            </w:r>
            <w:r w:rsidRPr="00B64E68">
              <w:rPr>
                <w:rFonts w:ascii="Times New Roman" w:eastAsia="Calibri" w:hAnsi="Times New Roman" w:cs="Times New Roman"/>
                <w:sz w:val="24"/>
                <w:szCs w:val="24"/>
              </w:rPr>
              <w:br/>
              <w:t xml:space="preserve">The Petroleum (Exploration &amp; Production) </w:t>
            </w:r>
            <w:r w:rsidR="006A2584">
              <w:rPr>
                <w:rFonts w:ascii="Times New Roman" w:eastAsia="Calibri" w:hAnsi="Times New Roman" w:cs="Times New Roman"/>
                <w:sz w:val="24"/>
                <w:szCs w:val="24"/>
              </w:rPr>
              <w:t>Reform</w:t>
            </w:r>
            <w:r w:rsidRPr="00B64E68">
              <w:rPr>
                <w:rFonts w:ascii="Times New Roman" w:eastAsia="Calibri" w:hAnsi="Times New Roman" w:cs="Times New Roman"/>
                <w:sz w:val="24"/>
                <w:szCs w:val="24"/>
              </w:rPr>
              <w:t xml:space="preserve"> Law of 2014 stipulates that LPRA shall grant petroleum</w:t>
            </w:r>
            <w:r w:rsidR="006A2584">
              <w:rPr>
                <w:rFonts w:ascii="Times New Roman" w:eastAsia="Calibri" w:hAnsi="Times New Roman" w:cs="Times New Roman"/>
                <w:sz w:val="24"/>
                <w:szCs w:val="24"/>
              </w:rPr>
              <w:t>.</w:t>
            </w:r>
            <w:r w:rsidRPr="00B64E68">
              <w:rPr>
                <w:rFonts w:ascii="Times New Roman" w:eastAsia="Calibri" w:hAnsi="Times New Roman" w:cs="Times New Roman"/>
                <w:sz w:val="24"/>
                <w:szCs w:val="24"/>
              </w:rPr>
              <w:br/>
              <w:t xml:space="preserve">Rights to NOCAL through Executive allocation in consultation with </w:t>
            </w:r>
            <w:r w:rsidR="006A2584">
              <w:rPr>
                <w:rFonts w:ascii="Times New Roman" w:eastAsia="Calibri" w:hAnsi="Times New Roman" w:cs="Times New Roman"/>
                <w:sz w:val="24"/>
                <w:szCs w:val="24"/>
              </w:rPr>
              <w:t xml:space="preserve">the </w:t>
            </w:r>
            <w:r w:rsidRPr="00B64E68">
              <w:rPr>
                <w:rFonts w:ascii="Times New Roman" w:eastAsia="Calibri" w:hAnsi="Times New Roman" w:cs="Times New Roman"/>
                <w:sz w:val="24"/>
                <w:szCs w:val="24"/>
              </w:rPr>
              <w:t>National Legislature. The President shall announce a 100% interest allocation in a block to NOCAL through executive allocation.</w:t>
            </w:r>
            <w:r w:rsidRPr="00B64E68">
              <w:rPr>
                <w:rFonts w:ascii="Times New Roman" w:eastAsia="Calibri" w:hAnsi="Times New Roman" w:cs="Times New Roman"/>
                <w:sz w:val="24"/>
                <w:szCs w:val="24"/>
              </w:rPr>
              <w:br/>
            </w:r>
            <w:r w:rsidR="006A2584">
              <w:rPr>
                <w:rFonts w:ascii="Times New Roman" w:eastAsia="Calibri" w:hAnsi="Times New Roman" w:cs="Times New Roman"/>
                <w:sz w:val="24"/>
                <w:szCs w:val="24"/>
              </w:rPr>
              <w:t>Thereafter, NOCAL shall exercise its commercial options to operate the block solely and</w:t>
            </w:r>
            <w:r w:rsidRPr="00B64E68">
              <w:rPr>
                <w:rFonts w:ascii="Times New Roman" w:eastAsia="Calibri" w:hAnsi="Times New Roman" w:cs="Times New Roman"/>
                <w:sz w:val="24"/>
                <w:szCs w:val="24"/>
              </w:rPr>
              <w:t xml:space="preserve"> divest some of its interest in the block </w:t>
            </w:r>
            <w:r w:rsidRPr="00B64E68">
              <w:rPr>
                <w:rFonts w:ascii="Times New Roman" w:eastAsia="Calibri" w:hAnsi="Times New Roman" w:cs="Times New Roman"/>
                <w:sz w:val="24"/>
                <w:szCs w:val="24"/>
              </w:rPr>
              <w:lastRenderedPageBreak/>
              <w:t xml:space="preserve">through farm-outs, etc. The President shall do the executive allocation, and the Authority shall carry out a pre-qualification list of companies presented by NOCAL. The SOE shall have the option to develop these petroleum acreages </w:t>
            </w:r>
            <w:r w:rsidR="001B3809">
              <w:rPr>
                <w:rFonts w:ascii="Times New Roman" w:eastAsia="Calibri" w:hAnsi="Times New Roman" w:cs="Times New Roman"/>
                <w:sz w:val="24"/>
                <w:szCs w:val="24"/>
              </w:rPr>
              <w:t>on its own or in partnership with any oil company through farm-ins by tender</w:t>
            </w:r>
            <w:r w:rsidRPr="00B64E68">
              <w:rPr>
                <w:rFonts w:ascii="Times New Roman" w:eastAsia="Calibri" w:hAnsi="Times New Roman" w:cs="Times New Roman"/>
                <w:sz w:val="24"/>
                <w:szCs w:val="24"/>
              </w:rPr>
              <w:t xml:space="preserve"> or direct negotiations. All Production Sharing or other agreements executed as a result of Executive Allocations shall be submitted to the Legislature for</w:t>
            </w:r>
            <w:r w:rsidRPr="00B64E68">
              <w:rPr>
                <w:rFonts w:ascii="Times New Roman" w:eastAsia="Calibri" w:hAnsi="Times New Roman" w:cs="Times New Roman"/>
                <w:sz w:val="24"/>
                <w:szCs w:val="24"/>
              </w:rPr>
              <w:br/>
            </w:r>
            <w:r w:rsidR="001B3809">
              <w:rPr>
                <w:rFonts w:ascii="Times New Roman" w:eastAsia="Calibri" w:hAnsi="Times New Roman" w:cs="Times New Roman"/>
                <w:sz w:val="24"/>
                <w:szCs w:val="24"/>
              </w:rPr>
              <w:t>Ratification</w:t>
            </w:r>
            <w:r w:rsidRPr="00B64E68">
              <w:rPr>
                <w:rFonts w:ascii="Times New Roman" w:eastAsia="Calibri" w:hAnsi="Times New Roman" w:cs="Times New Roman"/>
                <w:sz w:val="24"/>
                <w:szCs w:val="24"/>
              </w:rPr>
              <w:t>. NOCAL also chairs the Hydrocarbon Technical Committee (HTC)</w:t>
            </w:r>
            <w:r w:rsidR="001B3809">
              <w:rPr>
                <w:rFonts w:ascii="Times New Roman" w:eastAsia="Calibri" w:hAnsi="Times New Roman" w:cs="Times New Roman"/>
                <w:sz w:val="24"/>
                <w:szCs w:val="24"/>
              </w:rPr>
              <w:t>, the inter-ministerial body established under the 2002 Petroleum Law and</w:t>
            </w:r>
            <w:r w:rsidRPr="00B64E68">
              <w:rPr>
                <w:rFonts w:ascii="Times New Roman" w:eastAsia="Calibri" w:hAnsi="Times New Roman" w:cs="Times New Roman"/>
                <w:sz w:val="24"/>
                <w:szCs w:val="24"/>
              </w:rPr>
              <w:t xml:space="preserve"> empowered to negotiate all contracts.</w:t>
            </w:r>
          </w:p>
          <w:p w14:paraId="5EC6B83E" w14:textId="1386EBD0"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NOCAL has embarked on a vigorous seismic data promotion and marketing campaign to encourage new exploration and ensure that companies </w:t>
            </w:r>
            <w:r w:rsidR="001B3809">
              <w:rPr>
                <w:rFonts w:ascii="Times New Roman" w:eastAsia="Calibri" w:hAnsi="Times New Roman" w:cs="Times New Roman"/>
                <w:sz w:val="24"/>
                <w:szCs w:val="24"/>
              </w:rPr>
              <w:t>hold oil exploration blocks so they can proceed with their respective work programs as quickly as possible over</w:t>
            </w:r>
            <w:r w:rsidRPr="00B64E68">
              <w:rPr>
                <w:rFonts w:ascii="Times New Roman" w:eastAsia="Calibri" w:hAnsi="Times New Roman" w:cs="Times New Roman"/>
                <w:sz w:val="24"/>
                <w:szCs w:val="24"/>
              </w:rPr>
              <w:t xml:space="preserve"> the last few years. This program includes</w:t>
            </w:r>
            <w:r w:rsidRPr="00B64E68">
              <w:rPr>
                <w:rFonts w:ascii="Times New Roman" w:eastAsia="Calibri" w:hAnsi="Times New Roman" w:cs="Times New Roman"/>
                <w:sz w:val="24"/>
                <w:szCs w:val="24"/>
              </w:rPr>
              <w:br/>
            </w:r>
            <w:r w:rsidR="001B3809">
              <w:rPr>
                <w:rFonts w:ascii="Times New Roman" w:eastAsia="Calibri" w:hAnsi="Times New Roman" w:cs="Times New Roman"/>
                <w:sz w:val="24"/>
                <w:szCs w:val="24"/>
              </w:rPr>
              <w:t>Data studies followed by detailed 3D seismic</w:t>
            </w:r>
            <w:r w:rsidRPr="00B64E68">
              <w:rPr>
                <w:rFonts w:ascii="Times New Roman" w:eastAsia="Calibri" w:hAnsi="Times New Roman" w:cs="Times New Roman"/>
                <w:sz w:val="24"/>
                <w:szCs w:val="24"/>
              </w:rPr>
              <w:t xml:space="preserve"> led to the identification of drillable structures and the exploratory drilling program.</w:t>
            </w:r>
          </w:p>
          <w:p w14:paraId="0896F938" w14:textId="77777777" w:rsidR="00423D65" w:rsidRPr="00B64E68" w:rsidRDefault="00423D65" w:rsidP="0057476A">
            <w:pPr>
              <w:spacing w:after="80"/>
              <w:jc w:val="both"/>
              <w:rPr>
                <w:rFonts w:ascii="Times New Roman" w:eastAsia="Calibri" w:hAnsi="Times New Roman" w:cs="Times New Roman"/>
                <w:sz w:val="24"/>
                <w:szCs w:val="24"/>
              </w:rPr>
            </w:pPr>
          </w:p>
          <w:p w14:paraId="22E392E4" w14:textId="77777777" w:rsidR="00423D65" w:rsidRPr="00B64E68" w:rsidRDefault="00423D65" w:rsidP="0057476A">
            <w:pPr>
              <w:spacing w:after="80"/>
              <w:jc w:val="both"/>
              <w:rPr>
                <w:rFonts w:ascii="Times New Roman" w:eastAsia="Calibri" w:hAnsi="Times New Roman" w:cs="Times New Roman"/>
                <w:sz w:val="24"/>
                <w:szCs w:val="24"/>
              </w:rPr>
            </w:pPr>
          </w:p>
          <w:p w14:paraId="0F86FB7D" w14:textId="77777777" w:rsidR="00423D65" w:rsidRPr="00B64E68" w:rsidRDefault="00423D65" w:rsidP="0057476A">
            <w:pPr>
              <w:spacing w:after="80"/>
              <w:jc w:val="both"/>
              <w:rPr>
                <w:rFonts w:ascii="Times New Roman" w:eastAsia="Calibri" w:hAnsi="Times New Roman" w:cs="Times New Roman"/>
                <w:sz w:val="24"/>
                <w:szCs w:val="24"/>
              </w:rPr>
            </w:pPr>
          </w:p>
          <w:p w14:paraId="486AA8E6" w14:textId="77777777" w:rsidR="00423D65" w:rsidRPr="00B64E68" w:rsidRDefault="00423D65" w:rsidP="0057476A">
            <w:pPr>
              <w:spacing w:after="80"/>
              <w:jc w:val="both"/>
              <w:rPr>
                <w:rFonts w:ascii="Times New Roman" w:eastAsia="Calibri" w:hAnsi="Times New Roman" w:cs="Times New Roman"/>
                <w:sz w:val="24"/>
                <w:szCs w:val="24"/>
              </w:rPr>
            </w:pPr>
          </w:p>
          <w:p w14:paraId="3EDE6C20" w14:textId="77777777" w:rsidR="00423D65" w:rsidRPr="00B64E68" w:rsidRDefault="00423D65" w:rsidP="0057476A">
            <w:pPr>
              <w:spacing w:after="80"/>
              <w:jc w:val="both"/>
              <w:rPr>
                <w:rFonts w:ascii="Times New Roman" w:eastAsia="Calibri" w:hAnsi="Times New Roman" w:cs="Times New Roman"/>
                <w:sz w:val="24"/>
                <w:szCs w:val="24"/>
              </w:rPr>
            </w:pPr>
          </w:p>
          <w:p w14:paraId="75E6E907" w14:textId="77777777" w:rsidR="00423D65" w:rsidRPr="00B64E68" w:rsidRDefault="00423D65" w:rsidP="0057476A">
            <w:pPr>
              <w:spacing w:after="80"/>
              <w:jc w:val="both"/>
              <w:rPr>
                <w:rFonts w:ascii="Times New Roman" w:eastAsia="Calibri" w:hAnsi="Times New Roman" w:cs="Times New Roman"/>
                <w:sz w:val="24"/>
                <w:szCs w:val="24"/>
              </w:rPr>
            </w:pPr>
          </w:p>
          <w:p w14:paraId="3686B6D7" w14:textId="77777777" w:rsidR="00423D65" w:rsidRPr="00B64E68" w:rsidRDefault="00423D65" w:rsidP="0057476A">
            <w:pPr>
              <w:spacing w:after="80"/>
              <w:jc w:val="both"/>
              <w:rPr>
                <w:rFonts w:ascii="Times New Roman" w:eastAsia="Calibri" w:hAnsi="Times New Roman" w:cs="Times New Roman"/>
                <w:sz w:val="24"/>
                <w:szCs w:val="24"/>
              </w:rPr>
            </w:pPr>
          </w:p>
          <w:p w14:paraId="69213556" w14:textId="77777777" w:rsidR="00423D65" w:rsidRPr="00B64E68" w:rsidRDefault="00423D65" w:rsidP="0057476A">
            <w:pPr>
              <w:spacing w:after="80"/>
              <w:jc w:val="both"/>
              <w:rPr>
                <w:rFonts w:ascii="Times New Roman" w:eastAsia="Calibri" w:hAnsi="Times New Roman" w:cs="Times New Roman"/>
                <w:sz w:val="24"/>
                <w:szCs w:val="24"/>
              </w:rPr>
            </w:pPr>
          </w:p>
          <w:p w14:paraId="3A081F46" w14:textId="77777777" w:rsidR="00423D65" w:rsidRPr="00B64E68" w:rsidRDefault="00423D65" w:rsidP="0057476A">
            <w:pPr>
              <w:spacing w:after="80"/>
              <w:jc w:val="both"/>
              <w:rPr>
                <w:rFonts w:ascii="Times New Roman" w:eastAsia="Calibri" w:hAnsi="Times New Roman" w:cs="Times New Roman"/>
                <w:sz w:val="24"/>
                <w:szCs w:val="24"/>
              </w:rPr>
            </w:pPr>
          </w:p>
          <w:p w14:paraId="64A4A402" w14:textId="77777777" w:rsidR="00423D65" w:rsidRPr="00B64E68" w:rsidRDefault="00423D65" w:rsidP="0057476A">
            <w:pPr>
              <w:spacing w:after="80"/>
              <w:jc w:val="both"/>
              <w:rPr>
                <w:rFonts w:ascii="Times New Roman" w:eastAsia="Calibri" w:hAnsi="Times New Roman" w:cs="Times New Roman"/>
                <w:sz w:val="24"/>
                <w:szCs w:val="24"/>
              </w:rPr>
            </w:pPr>
          </w:p>
          <w:p w14:paraId="1B34C9EE" w14:textId="77777777" w:rsidR="00423D65" w:rsidRPr="00B64E68" w:rsidRDefault="00423D65" w:rsidP="0057476A">
            <w:pPr>
              <w:spacing w:after="80"/>
              <w:jc w:val="both"/>
              <w:rPr>
                <w:rFonts w:ascii="Times New Roman" w:eastAsia="Calibri" w:hAnsi="Times New Roman" w:cs="Times New Roman"/>
                <w:sz w:val="24"/>
                <w:szCs w:val="24"/>
              </w:rPr>
            </w:pPr>
          </w:p>
          <w:p w14:paraId="533363D6" w14:textId="77777777" w:rsidR="00423D65" w:rsidRPr="00B64E68" w:rsidRDefault="00423D65" w:rsidP="0057476A">
            <w:pPr>
              <w:spacing w:after="80"/>
              <w:jc w:val="both"/>
              <w:rPr>
                <w:rFonts w:ascii="Times New Roman" w:eastAsia="Calibri" w:hAnsi="Times New Roman" w:cs="Times New Roman"/>
                <w:sz w:val="24"/>
                <w:szCs w:val="24"/>
              </w:rPr>
            </w:pPr>
          </w:p>
          <w:p w14:paraId="7589E14E" w14:textId="77777777" w:rsidR="00423D65" w:rsidRPr="00B64E68" w:rsidRDefault="00423D65" w:rsidP="0057476A">
            <w:pPr>
              <w:spacing w:after="80"/>
              <w:jc w:val="both"/>
              <w:rPr>
                <w:rFonts w:ascii="Times New Roman" w:eastAsia="Calibri" w:hAnsi="Times New Roman" w:cs="Times New Roman"/>
                <w:sz w:val="24"/>
                <w:szCs w:val="24"/>
              </w:rPr>
            </w:pPr>
          </w:p>
          <w:p w14:paraId="45956200" w14:textId="77777777" w:rsidR="00423D65" w:rsidRPr="00B64E68" w:rsidRDefault="00423D65" w:rsidP="0057476A">
            <w:pPr>
              <w:spacing w:after="80"/>
              <w:jc w:val="both"/>
              <w:rPr>
                <w:rFonts w:ascii="Times New Roman" w:eastAsia="Calibri" w:hAnsi="Times New Roman" w:cs="Times New Roman"/>
                <w:sz w:val="24"/>
                <w:szCs w:val="24"/>
              </w:rPr>
            </w:pPr>
          </w:p>
          <w:p w14:paraId="0EDD6CCD" w14:textId="77777777" w:rsidR="00423D65" w:rsidRPr="00B64E68" w:rsidRDefault="00423D65" w:rsidP="0057476A">
            <w:pPr>
              <w:spacing w:after="80"/>
              <w:jc w:val="both"/>
              <w:rPr>
                <w:rFonts w:ascii="Times New Roman" w:eastAsia="Calibri" w:hAnsi="Times New Roman" w:cs="Times New Roman"/>
                <w:sz w:val="24"/>
                <w:szCs w:val="24"/>
              </w:rPr>
            </w:pPr>
          </w:p>
          <w:p w14:paraId="5FA39CEF" w14:textId="77777777" w:rsidR="00423D65" w:rsidRPr="00B64E68" w:rsidRDefault="00423D65" w:rsidP="0057476A">
            <w:pPr>
              <w:spacing w:after="80"/>
              <w:jc w:val="both"/>
              <w:rPr>
                <w:rFonts w:ascii="Times New Roman" w:eastAsia="Calibri" w:hAnsi="Times New Roman" w:cs="Times New Roman"/>
                <w:sz w:val="24"/>
                <w:szCs w:val="24"/>
              </w:rPr>
            </w:pPr>
          </w:p>
          <w:p w14:paraId="22C859F6" w14:textId="77777777" w:rsidR="00423D65" w:rsidRPr="00B64E68" w:rsidRDefault="00423D65" w:rsidP="0057476A">
            <w:pPr>
              <w:spacing w:after="80"/>
              <w:jc w:val="both"/>
              <w:rPr>
                <w:rFonts w:ascii="Times New Roman" w:eastAsia="Calibri" w:hAnsi="Times New Roman" w:cs="Times New Roman"/>
                <w:sz w:val="24"/>
                <w:szCs w:val="24"/>
              </w:rPr>
            </w:pPr>
          </w:p>
        </w:tc>
      </w:tr>
      <w:tr w:rsidR="00423D65" w:rsidRPr="00B64E68" w14:paraId="0BD39802" w14:textId="77777777" w:rsidTr="0057476A">
        <w:tc>
          <w:tcPr>
            <w:tcW w:w="4788" w:type="dxa"/>
          </w:tcPr>
          <w:p w14:paraId="7C0C4D8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b/>
                <w:sz w:val="24"/>
                <w:szCs w:val="24"/>
              </w:rPr>
              <w:lastRenderedPageBreak/>
              <w:t>Requirement 3 Exploration and Production</w:t>
            </w:r>
          </w:p>
          <w:p w14:paraId="7F0785E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u w:val="single"/>
              </w:rPr>
              <w:t>Requirement (3.1)</w:t>
            </w:r>
            <w:r w:rsidRPr="00B64E68">
              <w:rPr>
                <w:rFonts w:ascii="Times New Roman" w:eastAsia="Calibri" w:hAnsi="Times New Roman" w:cs="Times New Roman"/>
                <w:sz w:val="24"/>
                <w:szCs w:val="24"/>
              </w:rPr>
              <w:t xml:space="preserve"> </w:t>
            </w:r>
          </w:p>
          <w:p w14:paraId="5EA959AB"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Exploration. Implementing countries should disclose an overview of the extractive industries, including any significant exploration activities.</w:t>
            </w:r>
          </w:p>
          <w:p w14:paraId="21E1D21C"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3.2 Production. Implementing countries must disclose production data for the fiscal year covered by the EITI Report, including total production volumes, the value of production by commodity, and, when relevant, state/region. This could include sources of the production data and information on how the production volumes and values disclosed in the EITI Report have been calculated.</w:t>
            </w:r>
          </w:p>
          <w:p w14:paraId="6F463F9B"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3.3 Exports. Implementing countries must disclose export data for the fiscal year covered by the EITI Report, including total export volumes, the value of exports by commodity, and, when relevant, by state/region of origin. This could include sources of the export data and information on how the export volumes and values disclosed in the EITI Report have been calculated.</w:t>
            </w:r>
          </w:p>
        </w:tc>
        <w:tc>
          <w:tcPr>
            <w:tcW w:w="4788" w:type="dxa"/>
          </w:tcPr>
          <w:p w14:paraId="7503096D" w14:textId="5008BE2A" w:rsidR="00423D65" w:rsidRPr="00B64E68" w:rsidRDefault="006A2584" w:rsidP="0057476A">
            <w:pPr>
              <w:spacing w:after="8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Contextual</w:t>
            </w:r>
            <w:r w:rsidR="00423D65" w:rsidRPr="00B64E68">
              <w:rPr>
                <w:rFonts w:ascii="Times New Roman" w:eastAsia="Calibri" w:hAnsi="Times New Roman" w:cs="Times New Roman"/>
                <w:sz w:val="24"/>
                <w:szCs w:val="24"/>
              </w:rPr>
              <w:t xml:space="preserve"> information about the extractive industries in accordance with EITI Requirements 2, 3, 4, 5</w:t>
            </w:r>
            <w:r>
              <w:rPr>
                <w:rFonts w:ascii="Times New Roman" w:eastAsia="Calibri" w:hAnsi="Times New Roman" w:cs="Times New Roman"/>
                <w:sz w:val="24"/>
                <w:szCs w:val="24"/>
              </w:rPr>
              <w:t>,</w:t>
            </w:r>
            <w:r w:rsidR="00423D65" w:rsidRPr="00B64E68">
              <w:rPr>
                <w:rFonts w:ascii="Times New Roman" w:eastAsia="Calibri" w:hAnsi="Times New Roman" w:cs="Times New Roman"/>
                <w:sz w:val="24"/>
                <w:szCs w:val="24"/>
              </w:rPr>
              <w:t xml:space="preserve"> and 6. This information includes a summary </w:t>
            </w:r>
            <w:r>
              <w:rPr>
                <w:rFonts w:ascii="Times New Roman" w:eastAsia="Calibri" w:hAnsi="Times New Roman" w:cs="Times New Roman"/>
                <w:sz w:val="24"/>
                <w:szCs w:val="24"/>
              </w:rPr>
              <w:t>of the legal framework and fiscal regime; an overview of the extractive sector; the extractive industries’ contribution to the economy; production and export data; the State’s shareholdings in extractive entities; revenue allocations; license registers;</w:t>
            </w:r>
            <w:r w:rsidR="00423D65" w:rsidRPr="00B64E68">
              <w:rPr>
                <w:rFonts w:ascii="Times New Roman" w:eastAsia="Calibri" w:hAnsi="Times New Roman" w:cs="Times New Roman"/>
                <w:sz w:val="24"/>
                <w:szCs w:val="24"/>
              </w:rPr>
              <w:t xml:space="preserve"> and license allocations.</w:t>
            </w:r>
          </w:p>
          <w:p w14:paraId="108D9F00" w14:textId="4A2BE93F"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Production and export data information </w:t>
            </w:r>
            <w:r w:rsidR="006A2584">
              <w:rPr>
                <w:rFonts w:ascii="Times New Roman" w:eastAsia="Calibri" w:hAnsi="Times New Roman" w:cs="Times New Roman"/>
                <w:sz w:val="24"/>
                <w:szCs w:val="24"/>
              </w:rPr>
              <w:t>are</w:t>
            </w:r>
            <w:r w:rsidRPr="00B64E68">
              <w:rPr>
                <w:rFonts w:ascii="Times New Roman" w:eastAsia="Calibri" w:hAnsi="Times New Roman" w:cs="Times New Roman"/>
                <w:sz w:val="24"/>
                <w:szCs w:val="24"/>
              </w:rPr>
              <w:t xml:space="preserve"> provided</w:t>
            </w:r>
            <w:r w:rsidR="006A2584">
              <w:rPr>
                <w:rFonts w:ascii="Times New Roman" w:eastAsia="Calibri" w:hAnsi="Times New Roman" w:cs="Times New Roman"/>
                <w:sz w:val="24"/>
                <w:szCs w:val="24"/>
              </w:rPr>
              <w:t xml:space="preserve"> in the LEITI 15</w:t>
            </w:r>
            <w:r w:rsidR="006A2584" w:rsidRPr="006A2584">
              <w:rPr>
                <w:rFonts w:ascii="Times New Roman" w:eastAsia="Calibri" w:hAnsi="Times New Roman" w:cs="Times New Roman"/>
                <w:sz w:val="24"/>
                <w:szCs w:val="24"/>
                <w:vertAlign w:val="superscript"/>
              </w:rPr>
              <w:t>th</w:t>
            </w:r>
            <w:r w:rsidR="006A2584">
              <w:rPr>
                <w:rFonts w:ascii="Times New Roman" w:eastAsia="Calibri" w:hAnsi="Times New Roman" w:cs="Times New Roman"/>
                <w:sz w:val="24"/>
                <w:szCs w:val="24"/>
              </w:rPr>
              <w:t xml:space="preserve"> and 16</w:t>
            </w:r>
            <w:r w:rsidR="006A2584" w:rsidRPr="006A2584">
              <w:rPr>
                <w:rFonts w:ascii="Times New Roman" w:eastAsia="Calibri" w:hAnsi="Times New Roman" w:cs="Times New Roman"/>
                <w:sz w:val="24"/>
                <w:szCs w:val="24"/>
                <w:vertAlign w:val="superscript"/>
              </w:rPr>
              <w:t>th</w:t>
            </w:r>
            <w:r w:rsidR="006A2584">
              <w:rPr>
                <w:rFonts w:ascii="Times New Roman" w:eastAsia="Calibri" w:hAnsi="Times New Roman" w:cs="Times New Roman"/>
                <w:sz w:val="24"/>
                <w:szCs w:val="24"/>
              </w:rPr>
              <w:t xml:space="preserve"> EITI Reports. </w:t>
            </w:r>
            <w:r w:rsidRPr="00B64E68">
              <w:rPr>
                <w:rFonts w:ascii="Times New Roman" w:eastAsia="Calibri" w:hAnsi="Times New Roman" w:cs="Times New Roman"/>
                <w:sz w:val="24"/>
                <w:szCs w:val="24"/>
              </w:rPr>
              <w:t xml:space="preserve"> </w:t>
            </w:r>
          </w:p>
          <w:p w14:paraId="241974FB" w14:textId="77777777" w:rsidR="00423D65" w:rsidRPr="00B64E68" w:rsidRDefault="00423D65" w:rsidP="0057476A">
            <w:pPr>
              <w:spacing w:after="80"/>
              <w:jc w:val="both"/>
              <w:rPr>
                <w:rFonts w:ascii="Times New Roman" w:eastAsia="Calibri" w:hAnsi="Times New Roman" w:cs="Times New Roman"/>
                <w:color w:val="FF0000"/>
                <w:sz w:val="24"/>
                <w:szCs w:val="24"/>
              </w:rPr>
            </w:pPr>
          </w:p>
          <w:p w14:paraId="7FA97A93" w14:textId="77777777" w:rsidR="00423D65" w:rsidRPr="00B64E68" w:rsidRDefault="00423D65" w:rsidP="0057476A">
            <w:pPr>
              <w:spacing w:after="80"/>
              <w:jc w:val="both"/>
              <w:rPr>
                <w:rFonts w:ascii="Times New Roman" w:eastAsia="Calibri" w:hAnsi="Times New Roman" w:cs="Times New Roman"/>
                <w:color w:val="FF0000"/>
                <w:sz w:val="24"/>
                <w:szCs w:val="24"/>
              </w:rPr>
            </w:pPr>
          </w:p>
          <w:p w14:paraId="23D05EDA" w14:textId="77777777" w:rsidR="00423D65" w:rsidRPr="00B64E68" w:rsidRDefault="00423D65" w:rsidP="0057476A">
            <w:pPr>
              <w:spacing w:after="80"/>
              <w:jc w:val="both"/>
              <w:rPr>
                <w:rFonts w:ascii="Times New Roman" w:eastAsia="Calibri" w:hAnsi="Times New Roman" w:cs="Times New Roman"/>
                <w:color w:val="FF0000"/>
                <w:sz w:val="24"/>
                <w:szCs w:val="24"/>
              </w:rPr>
            </w:pPr>
            <w:r w:rsidRPr="00B64E68">
              <w:rPr>
                <w:rFonts w:ascii="Times New Roman" w:eastAsia="Calibri" w:hAnsi="Times New Roman" w:cs="Times New Roman"/>
                <w:color w:val="FF0000"/>
                <w:sz w:val="24"/>
                <w:szCs w:val="24"/>
              </w:rPr>
              <w:t xml:space="preserve">   </w:t>
            </w:r>
          </w:p>
        </w:tc>
      </w:tr>
      <w:tr w:rsidR="00423D65" w:rsidRPr="00B64E68" w14:paraId="09E77CE3" w14:textId="77777777" w:rsidTr="0057476A">
        <w:tc>
          <w:tcPr>
            <w:tcW w:w="4788" w:type="dxa"/>
          </w:tcPr>
          <w:p w14:paraId="4F7B2ACA" w14:textId="77777777" w:rsidR="00423D65" w:rsidRPr="00B64E68" w:rsidRDefault="00423D65" w:rsidP="0057476A">
            <w:pPr>
              <w:spacing w:after="80"/>
              <w:jc w:val="both"/>
              <w:rPr>
                <w:rFonts w:ascii="Times New Roman" w:eastAsia="Calibri" w:hAnsi="Times New Roman" w:cs="Times New Roman"/>
                <w:b/>
                <w:sz w:val="24"/>
                <w:szCs w:val="24"/>
              </w:rPr>
            </w:pPr>
            <w:r w:rsidRPr="00B64E68">
              <w:rPr>
                <w:rFonts w:ascii="Times New Roman" w:eastAsia="Calibri" w:hAnsi="Times New Roman" w:cs="Times New Roman"/>
                <w:b/>
                <w:sz w:val="24"/>
                <w:szCs w:val="24"/>
              </w:rPr>
              <w:t>Requirement 4 Revenue Collection</w:t>
            </w:r>
          </w:p>
          <w:p w14:paraId="43256BB6" w14:textId="77777777" w:rsidR="00423D65" w:rsidRPr="00B64E68" w:rsidRDefault="00423D65" w:rsidP="0057476A">
            <w:pPr>
              <w:spacing w:after="80"/>
              <w:jc w:val="both"/>
              <w:rPr>
                <w:rFonts w:ascii="Times New Roman" w:eastAsia="Calibri" w:hAnsi="Times New Roman" w:cs="Times New Roman"/>
                <w:sz w:val="24"/>
                <w:szCs w:val="24"/>
              </w:rPr>
            </w:pPr>
          </w:p>
          <w:p w14:paraId="0DA2074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4.1 Comprehensive disclosure of taxes and revenues. a) In advance of the reporting process, the multi-stakeholder group is required to agree on which payments and revenues are material. It, therefore, must be </w:t>
            </w:r>
            <w:r w:rsidRPr="00B64E68">
              <w:rPr>
                <w:rFonts w:ascii="Times New Roman" w:eastAsia="Calibri" w:hAnsi="Times New Roman" w:cs="Times New Roman"/>
                <w:sz w:val="24"/>
                <w:szCs w:val="24"/>
              </w:rPr>
              <w:lastRenderedPageBreak/>
              <w:t xml:space="preserve">disclosed, including appropriate materiality definitions and thresholds. Payments and revenues are considered material if their omission or misstatement could significantly affect the comprehensiveness of the EITI Report. A description of each revenue stream, related materiality definitions, and thresholds should be disclosed. In establishing materiality definitions and thresholds, the multi-stakeholder group should consider the size of the revenue streams relative to total revenues. The multi-stakeholder group should document the options and rationale for establishing the definitions and thresholds. b) The following revenue streams should be included: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The host government’s production entitlement (such as profit oil) ii. National state-owned company production entitlement iii. Profits taxes iv. Royalties v. Dividends vi. Bonuses, such as signature, discovery, and production bonuses vii. License fees, rental fees, entry fees, and other considerations for licenses and/or concessions viii. Any other significant payments and material benefit to the government. Any revenue streams or benefits should only be excluded where they are not applicable or where the multi-stakeholder group agrees that their omission will not materially affect the comprehensiveness of the EITI Report. c) Implementing countries must comprehensively reconcile government revenues and company payments under the agreed scope, including payments to and from state-owned enterprises. All companies making material payments to the government must comprehensively disclose these payments under the agreed scope. An entity should only be exempted from reporting if it can be demonstrated that its payments and revenues are not material. All government </w:t>
            </w:r>
            <w:r w:rsidRPr="00B64E68">
              <w:rPr>
                <w:rFonts w:ascii="Times New Roman" w:eastAsia="Calibri" w:hAnsi="Times New Roman" w:cs="Times New Roman"/>
                <w:sz w:val="24"/>
                <w:szCs w:val="24"/>
              </w:rPr>
              <w:lastRenderedPageBreak/>
              <w:t>entities receiving material revenues must comprehensively disclose these revenues according to the agreed scope.</w:t>
            </w:r>
          </w:p>
          <w:p w14:paraId="1BFDE053" w14:textId="77777777" w:rsidR="00423D65" w:rsidRPr="00B64E68" w:rsidRDefault="00423D65" w:rsidP="0057476A">
            <w:pPr>
              <w:spacing w:after="80"/>
              <w:jc w:val="both"/>
              <w:rPr>
                <w:rFonts w:ascii="Times New Roman" w:eastAsia="Calibri" w:hAnsi="Times New Roman" w:cs="Times New Roman"/>
                <w:sz w:val="24"/>
                <w:szCs w:val="24"/>
              </w:rPr>
            </w:pPr>
          </w:p>
          <w:p w14:paraId="7593861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d) Unless there are significant practical barriers, the government is additionally required to provide aggregate information about the total revenues received from each benefit stream agreed in the scope of the EITI Report, including payments that fall below-agreed materiality thresholds. The Independent Administrator should draw on relevant data and estimates from other sources to comprehensively account for the total government revenues where this data is unavailable.</w:t>
            </w:r>
          </w:p>
          <w:p w14:paraId="378C64E5" w14:textId="77777777" w:rsidR="00423D65" w:rsidRPr="00B64E68" w:rsidRDefault="00423D65" w:rsidP="0057476A">
            <w:pPr>
              <w:spacing w:after="80"/>
              <w:jc w:val="both"/>
              <w:rPr>
                <w:rFonts w:ascii="Times New Roman" w:eastAsia="Calibri" w:hAnsi="Times New Roman" w:cs="Times New Roman"/>
                <w:sz w:val="24"/>
                <w:szCs w:val="24"/>
              </w:rPr>
            </w:pPr>
          </w:p>
          <w:p w14:paraId="200769C1"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4.2 Sale of the state’s share of production or other revenues collected in-kind. Where the sale of the state’s share of production or other revenues collected in-kind is material, the government, including state-owned enterprises, is required to disclose the volumes sold and revenues received. The published data must be disaggregated by individual buying companies and commensurate with other payments and revenue streams (Requirement 4.7.). Reporting could also break down disclosures by product type, price, market, and sale volume. Where practically feasible, the multi-stakeholder group is encouraged to task the Independent Administrator with reconciling the volumes sold and revenues received by including the buying companies in the reporting process. </w:t>
            </w:r>
          </w:p>
          <w:p w14:paraId="5770CC4E" w14:textId="77777777" w:rsidR="00423D65" w:rsidRPr="00B64E68" w:rsidRDefault="00423D65" w:rsidP="0057476A">
            <w:pPr>
              <w:spacing w:after="80"/>
              <w:jc w:val="both"/>
              <w:rPr>
                <w:rFonts w:ascii="Times New Roman" w:eastAsia="Calibri" w:hAnsi="Times New Roman" w:cs="Times New Roman"/>
                <w:sz w:val="24"/>
                <w:szCs w:val="24"/>
              </w:rPr>
            </w:pPr>
          </w:p>
          <w:p w14:paraId="1D5AB936"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4.3 Infrastructure provisions and barter arrangements. The multi-stakeholder group and the Independent Administrator are </w:t>
            </w:r>
            <w:r w:rsidRPr="00B64E68">
              <w:rPr>
                <w:rFonts w:ascii="Times New Roman" w:eastAsia="Calibri" w:hAnsi="Times New Roman" w:cs="Times New Roman"/>
                <w:sz w:val="24"/>
                <w:szCs w:val="24"/>
              </w:rPr>
              <w:lastRenderedPageBreak/>
              <w:t>required to consider whether there are any agreements or sets of agreements involving the provision of goods and services (including loans, grants, and infrastructure works) in full or partial exchange for oil, gas, or mining exploration or production concessions or physical delivery of such commodities. To be able to do so, the multi-stakeholder group and the Independent Administrator need to gain a full understanding of the terms of the relevant agreements and contracts, the parties involved, the resources which the state has pledged, the value of the balancing benefit stream (e.g., infrastructure works), and the materiality of these agreements relative to conventional contracts. The multi-stakeholder group concludes that these agreements are material. The multi-stakeholder group and the Independent Administrator are required to ensure that the EITI Report addresses these agreements, providing a level of detail and transparency commensurate with the disclosure and reconciliation of other payments and revenue streams. Where reconciliation of key transactions is not feasible, the multi-stakeholder group should agree on an approach for unilateral disclosure by the parties to the agreement(s) to be included in the EITI Report.</w:t>
            </w:r>
          </w:p>
          <w:p w14:paraId="3C7FFD2C" w14:textId="77777777" w:rsidR="00423D65" w:rsidRPr="00B64E68" w:rsidRDefault="00423D65" w:rsidP="0057476A">
            <w:pPr>
              <w:spacing w:after="80"/>
              <w:jc w:val="both"/>
              <w:rPr>
                <w:rFonts w:ascii="Times New Roman" w:eastAsia="Calibri" w:hAnsi="Times New Roman" w:cs="Times New Roman"/>
                <w:sz w:val="24"/>
                <w:szCs w:val="24"/>
              </w:rPr>
            </w:pPr>
          </w:p>
          <w:p w14:paraId="15204F70"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4.4 Transportation revenues. Where revenues from the transportation of oil, gas, and minerals are material, the government and state-owned enterprises (SOEs) are expected to disclose the revenues received. The published data must be disaggregated to levels commensurate with other payments and revenue streams (Requirement 4.7.). Implementing countries could disclose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A description of the transportation arrangements, </w:t>
            </w:r>
            <w:r w:rsidRPr="00B64E68">
              <w:rPr>
                <w:rFonts w:ascii="Times New Roman" w:eastAsia="Calibri" w:hAnsi="Times New Roman" w:cs="Times New Roman"/>
                <w:sz w:val="24"/>
                <w:szCs w:val="24"/>
              </w:rPr>
              <w:lastRenderedPageBreak/>
              <w:t>including the product, transportation route(s), and the relevant companies and government entities involved in transportation, including SOE(s). ii. Definitions of the relevant transportation taxes, tariffs, or other relevant payments and the methodologies used to calculate them. iii. Disclosure of tariff rates and volume of the transported commodities. iv. Disclosure of revenues received by government entities and SOE(s) concerning oil, gas, and minerals transportation. v. Where practicable, the multi-stakeholder group is encouraged to task the Independent Administrator with reconciling material payments and revenues associated with oil, gas, and minerals transportation.</w:t>
            </w:r>
          </w:p>
          <w:p w14:paraId="139435FC" w14:textId="77777777" w:rsidR="00423D65" w:rsidRPr="00B64E68" w:rsidRDefault="00423D65" w:rsidP="0057476A">
            <w:pPr>
              <w:spacing w:after="80"/>
              <w:jc w:val="both"/>
              <w:rPr>
                <w:rFonts w:ascii="Times New Roman" w:eastAsia="Calibri" w:hAnsi="Times New Roman" w:cs="Times New Roman"/>
                <w:sz w:val="24"/>
                <w:szCs w:val="24"/>
              </w:rPr>
            </w:pPr>
          </w:p>
          <w:p w14:paraId="37E7C42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4.5 Transactions related to State-owned enterprises (SOEs). The multi-stakeholder group must ensure that the reporting process comprehensively addresses the role of SOEs, including material payments to SOEs from oil, gas, and mining companies and transfers between SOEs and other government agencies. </w:t>
            </w:r>
          </w:p>
          <w:p w14:paraId="515D3AE6" w14:textId="77777777" w:rsidR="00423D65" w:rsidRPr="00B64E68" w:rsidRDefault="00423D65" w:rsidP="0057476A">
            <w:pPr>
              <w:spacing w:after="80"/>
              <w:jc w:val="both"/>
              <w:rPr>
                <w:rFonts w:ascii="Times New Roman" w:eastAsia="Calibri" w:hAnsi="Times New Roman" w:cs="Times New Roman"/>
                <w:sz w:val="24"/>
                <w:szCs w:val="24"/>
              </w:rPr>
            </w:pPr>
          </w:p>
          <w:p w14:paraId="00A979E0" w14:textId="77777777" w:rsidR="00423D65" w:rsidRPr="00B64E68" w:rsidRDefault="00423D65" w:rsidP="0057476A">
            <w:pPr>
              <w:spacing w:after="80"/>
              <w:jc w:val="both"/>
              <w:rPr>
                <w:rFonts w:ascii="Times New Roman" w:eastAsia="Calibri" w:hAnsi="Times New Roman" w:cs="Times New Roman"/>
                <w:sz w:val="24"/>
                <w:szCs w:val="24"/>
              </w:rPr>
            </w:pPr>
          </w:p>
          <w:p w14:paraId="00B54492" w14:textId="77777777" w:rsidR="00423D65" w:rsidRPr="00B64E68" w:rsidRDefault="00423D65" w:rsidP="0057476A">
            <w:pPr>
              <w:spacing w:after="80"/>
              <w:jc w:val="both"/>
              <w:rPr>
                <w:rFonts w:ascii="Times New Roman" w:eastAsia="Calibri" w:hAnsi="Times New Roman" w:cs="Times New Roman"/>
                <w:sz w:val="24"/>
                <w:szCs w:val="24"/>
              </w:rPr>
            </w:pPr>
          </w:p>
          <w:p w14:paraId="45143F60" w14:textId="77777777" w:rsidR="00423D65" w:rsidRPr="00B64E68" w:rsidRDefault="00423D65" w:rsidP="0057476A">
            <w:pPr>
              <w:spacing w:after="80"/>
              <w:jc w:val="both"/>
              <w:rPr>
                <w:rFonts w:ascii="Times New Roman" w:eastAsia="Calibri" w:hAnsi="Times New Roman" w:cs="Times New Roman"/>
                <w:sz w:val="24"/>
                <w:szCs w:val="24"/>
              </w:rPr>
            </w:pPr>
          </w:p>
          <w:p w14:paraId="34D01CE7" w14:textId="77777777" w:rsidR="00423D65" w:rsidRPr="00B64E68" w:rsidRDefault="00423D65" w:rsidP="0057476A">
            <w:pPr>
              <w:spacing w:after="80"/>
              <w:jc w:val="both"/>
              <w:rPr>
                <w:rFonts w:ascii="Times New Roman" w:eastAsia="Calibri" w:hAnsi="Times New Roman" w:cs="Times New Roman"/>
                <w:sz w:val="24"/>
                <w:szCs w:val="24"/>
              </w:rPr>
            </w:pPr>
          </w:p>
          <w:p w14:paraId="2EF19F0A" w14:textId="77777777" w:rsidR="00423D65" w:rsidRPr="00B64E68" w:rsidRDefault="00423D65" w:rsidP="0057476A">
            <w:pPr>
              <w:spacing w:after="80"/>
              <w:jc w:val="both"/>
              <w:rPr>
                <w:rFonts w:ascii="Times New Roman" w:eastAsia="Calibri" w:hAnsi="Times New Roman" w:cs="Times New Roman"/>
                <w:sz w:val="24"/>
                <w:szCs w:val="24"/>
              </w:rPr>
            </w:pPr>
          </w:p>
          <w:p w14:paraId="066F034D" w14:textId="77777777" w:rsidR="00423D65" w:rsidRPr="00B64E68" w:rsidRDefault="00423D65" w:rsidP="0057476A">
            <w:pPr>
              <w:spacing w:after="80"/>
              <w:jc w:val="both"/>
              <w:rPr>
                <w:rFonts w:ascii="Times New Roman" w:eastAsia="Calibri" w:hAnsi="Times New Roman" w:cs="Times New Roman"/>
                <w:sz w:val="24"/>
                <w:szCs w:val="24"/>
              </w:rPr>
            </w:pPr>
          </w:p>
          <w:p w14:paraId="6BDE4B14" w14:textId="77777777" w:rsidR="00423D65" w:rsidRPr="00B64E68" w:rsidRDefault="00423D65" w:rsidP="0057476A">
            <w:pPr>
              <w:spacing w:after="80"/>
              <w:jc w:val="both"/>
              <w:rPr>
                <w:rFonts w:ascii="Times New Roman" w:eastAsia="Calibri" w:hAnsi="Times New Roman" w:cs="Times New Roman"/>
                <w:sz w:val="24"/>
                <w:szCs w:val="24"/>
              </w:rPr>
            </w:pPr>
          </w:p>
          <w:p w14:paraId="49F3419D" w14:textId="77777777" w:rsidR="00423D65" w:rsidRPr="00B64E68" w:rsidRDefault="00423D65" w:rsidP="0057476A">
            <w:pPr>
              <w:spacing w:after="80"/>
              <w:jc w:val="both"/>
              <w:rPr>
                <w:rFonts w:ascii="Times New Roman" w:eastAsia="Calibri" w:hAnsi="Times New Roman" w:cs="Times New Roman"/>
                <w:sz w:val="24"/>
                <w:szCs w:val="24"/>
              </w:rPr>
            </w:pPr>
          </w:p>
          <w:p w14:paraId="14290DE9" w14:textId="77777777" w:rsidR="00423D65" w:rsidRPr="00B64E68" w:rsidRDefault="00423D65" w:rsidP="0057476A">
            <w:pPr>
              <w:spacing w:after="80"/>
              <w:jc w:val="both"/>
              <w:rPr>
                <w:rFonts w:ascii="Times New Roman" w:eastAsia="Calibri" w:hAnsi="Times New Roman" w:cs="Times New Roman"/>
                <w:sz w:val="24"/>
                <w:szCs w:val="24"/>
              </w:rPr>
            </w:pPr>
          </w:p>
          <w:p w14:paraId="06077060" w14:textId="77777777" w:rsidR="00423D65" w:rsidRPr="00B64E68" w:rsidRDefault="00423D65" w:rsidP="0057476A">
            <w:pPr>
              <w:spacing w:after="80"/>
              <w:jc w:val="both"/>
              <w:rPr>
                <w:rFonts w:ascii="Times New Roman" w:eastAsia="Calibri" w:hAnsi="Times New Roman" w:cs="Times New Roman"/>
                <w:sz w:val="24"/>
                <w:szCs w:val="24"/>
              </w:rPr>
            </w:pPr>
          </w:p>
          <w:p w14:paraId="666EC659" w14:textId="77777777" w:rsidR="00423D65" w:rsidRDefault="00423D65" w:rsidP="0057476A">
            <w:pPr>
              <w:spacing w:after="80"/>
              <w:jc w:val="both"/>
              <w:rPr>
                <w:rFonts w:ascii="Times New Roman" w:eastAsia="Calibri" w:hAnsi="Times New Roman" w:cs="Times New Roman"/>
                <w:sz w:val="24"/>
                <w:szCs w:val="24"/>
              </w:rPr>
            </w:pPr>
          </w:p>
          <w:p w14:paraId="5696AC9D" w14:textId="77777777" w:rsidR="00BC3ED6" w:rsidRPr="00B64E68" w:rsidRDefault="00BC3ED6" w:rsidP="0057476A">
            <w:pPr>
              <w:spacing w:after="80"/>
              <w:jc w:val="both"/>
              <w:rPr>
                <w:rFonts w:ascii="Times New Roman" w:eastAsia="Calibri" w:hAnsi="Times New Roman" w:cs="Times New Roman"/>
                <w:sz w:val="24"/>
                <w:szCs w:val="24"/>
              </w:rPr>
            </w:pPr>
          </w:p>
          <w:p w14:paraId="42BC3C5E" w14:textId="77777777" w:rsidR="00423D65" w:rsidRPr="00B64E68" w:rsidRDefault="00423D65" w:rsidP="0057476A">
            <w:pPr>
              <w:spacing w:after="80"/>
              <w:jc w:val="both"/>
              <w:rPr>
                <w:rFonts w:ascii="Times New Roman" w:eastAsia="Calibri" w:hAnsi="Times New Roman" w:cs="Times New Roman"/>
                <w:sz w:val="24"/>
                <w:szCs w:val="24"/>
              </w:rPr>
            </w:pPr>
          </w:p>
          <w:p w14:paraId="4A64BB8A" w14:textId="77777777" w:rsidR="00423D65" w:rsidRPr="00B64E68" w:rsidRDefault="00423D65" w:rsidP="0057476A">
            <w:pPr>
              <w:spacing w:after="80"/>
              <w:jc w:val="both"/>
              <w:rPr>
                <w:rFonts w:ascii="Times New Roman" w:eastAsia="Calibri" w:hAnsi="Times New Roman" w:cs="Times New Roman"/>
                <w:sz w:val="24"/>
                <w:szCs w:val="24"/>
              </w:rPr>
            </w:pPr>
          </w:p>
          <w:p w14:paraId="157B6B5C"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4.6 Sub-national payments. It is required that the multi-stakeholder group establish whether direct payments, within the scope of the agreed benefit streams, from companies to subnational government entities are material. Where material, the multi-stakeholder group is required to ensure that company payments to subnational government entities and the receipt are disclosed and reconciled in the EITI Report. </w:t>
            </w:r>
          </w:p>
          <w:p w14:paraId="3AD2742D" w14:textId="77777777" w:rsidR="00423D65" w:rsidRPr="00B64E68" w:rsidRDefault="00423D65" w:rsidP="0057476A">
            <w:pPr>
              <w:spacing w:after="80"/>
              <w:jc w:val="both"/>
              <w:rPr>
                <w:rFonts w:ascii="Times New Roman" w:eastAsia="Calibri" w:hAnsi="Times New Roman" w:cs="Times New Roman"/>
                <w:sz w:val="24"/>
                <w:szCs w:val="24"/>
              </w:rPr>
            </w:pPr>
          </w:p>
          <w:p w14:paraId="36BFAE53"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4.7 Level of disaggregation. The multi-stakeholder group is required to agree on the disaggregation level for the data publication. It is required that individual companies, government entities, and revenue streams present EITI data. Reporting at the project level is required, provided it is consistent with the United States Securities and Exchange Commission rules and the future European Union requirements.</w:t>
            </w:r>
          </w:p>
          <w:p w14:paraId="728F8708" w14:textId="77777777" w:rsidR="00423D65" w:rsidRPr="00B64E68" w:rsidRDefault="00423D65" w:rsidP="0057476A">
            <w:pPr>
              <w:spacing w:after="80"/>
              <w:jc w:val="both"/>
              <w:rPr>
                <w:rFonts w:ascii="Times New Roman" w:eastAsia="Calibri" w:hAnsi="Times New Roman" w:cs="Times New Roman"/>
                <w:sz w:val="24"/>
                <w:szCs w:val="24"/>
              </w:rPr>
            </w:pPr>
          </w:p>
          <w:p w14:paraId="073C38CB"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4.8 Data timeliness. a) Implementing countries must produce their first EITI Report within 18 months of being admitted as an EITI Candidate. After that, implementing countries are expected to produce EITI Reports annually. b) Implementing countries must disclose data no older than the second to last complete accounting period, e.g., an EITI Report published in the calendar/the financial year 2016 must be based on data no later than the calendar/financial year 2014. Multi-stakeholder groups are encouraged to explore opportunities to disclose data as soon as possible, for example, through continuous </w:t>
            </w:r>
            <w:r w:rsidRPr="00B64E68">
              <w:rPr>
                <w:rFonts w:ascii="Times New Roman" w:eastAsia="Calibri" w:hAnsi="Times New Roman" w:cs="Times New Roman"/>
                <w:sz w:val="24"/>
                <w:szCs w:val="24"/>
              </w:rPr>
              <w:lastRenderedPageBreak/>
              <w:t xml:space="preserve">online disclosures or, where available, by publishing additional, more recent contextual EITI data than the accounting period covered by the EITI revenue data. If EITI reporting is significantly delayed, the multi-stakeholder group should take steps to ensure that EITI Reports are issued for the intervening reporting periods so that every year is subject to reporting. c) The multi-stakeholder group is required to agree to the accounting period covered by the EITI Report. </w:t>
            </w:r>
          </w:p>
          <w:p w14:paraId="2C5B7307" w14:textId="77777777" w:rsidR="00423D65" w:rsidRPr="00B64E68" w:rsidRDefault="00423D65" w:rsidP="0057476A">
            <w:pPr>
              <w:spacing w:after="80"/>
              <w:jc w:val="both"/>
              <w:rPr>
                <w:rFonts w:ascii="Times New Roman" w:eastAsia="Calibri" w:hAnsi="Times New Roman" w:cs="Times New Roman"/>
                <w:sz w:val="24"/>
                <w:szCs w:val="24"/>
              </w:rPr>
            </w:pPr>
          </w:p>
          <w:p w14:paraId="4B589E9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4.9 Data quality and assurance. a) The EITI requires assessing whether the payments and revenues are subject to credible, independent audit, applying international auditing standards. b) It is required that payments and revenues be reconciled by a credible, independent administrator, applying international auditing standards and the administrator’s opinion regarding that reconciliation, including discrepancies, should any be identified.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The reconciliation of company payments and government revenues must be undertaken by an Independent Administrator applying international professional standards. ii. The multi-stakeholder group must perceive the Independent Administrator as credible, trustworthy, and technically competent. The multi-stakeholder group should endorse the appointment of the Independent Administrator. iii. The multi-stakeholder group and the Independent Administrator must agree to the Terms of Reference for the EITI Report based on the standard Terms of Reference and the ‘agreed-upon procedure for EITI Reports’3 endorsed by the EITI Board. Should the multi-stakeholder group wish to adapt or deviate from these agreed-upon </w:t>
            </w:r>
            <w:r w:rsidRPr="00B64E68">
              <w:rPr>
                <w:rFonts w:ascii="Times New Roman" w:eastAsia="Calibri" w:hAnsi="Times New Roman" w:cs="Times New Roman"/>
                <w:sz w:val="24"/>
                <w:szCs w:val="24"/>
              </w:rPr>
              <w:lastRenderedPageBreak/>
              <w:t>procedures, approval from the EITI Board must be sought in advance (Requirement 8.1). c) Where the assessment in 4.9(a) concludes that there is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routine disclosure of the data required by the EITI Standard in requisite detail, and (ii) that the financial data is subject to credible, independent audit, applying international standards, the multi-stakeholder group may seek Board approval to mainstream EITI implementation under the ‘Agreed upon procedure for mainstreamed disclosures.’4 Without such prior approval, adherence to 4.9.b  is required.</w:t>
            </w:r>
          </w:p>
        </w:tc>
        <w:tc>
          <w:tcPr>
            <w:tcW w:w="4788" w:type="dxa"/>
          </w:tcPr>
          <w:p w14:paraId="0C697693" w14:textId="7A7D3B38"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Based on recommendation outlined in the LEITI Scoping Report, the MSG agreed to the following agencies will, where appropriate, submit payment and contextual information for LEITI </w:t>
            </w:r>
            <w:r w:rsidR="006A2584">
              <w:rPr>
                <w:rFonts w:ascii="Times New Roman" w:eastAsia="Calibri" w:hAnsi="Times New Roman" w:cs="Times New Roman"/>
                <w:sz w:val="24"/>
                <w:szCs w:val="24"/>
              </w:rPr>
              <w:t>15</w:t>
            </w:r>
            <w:r w:rsidR="006A2584" w:rsidRPr="006A2584">
              <w:rPr>
                <w:rFonts w:ascii="Times New Roman" w:eastAsia="Calibri" w:hAnsi="Times New Roman" w:cs="Times New Roman"/>
                <w:sz w:val="24"/>
                <w:szCs w:val="24"/>
                <w:vertAlign w:val="superscript"/>
              </w:rPr>
              <w:t>th</w:t>
            </w:r>
            <w:r w:rsidR="006A2584">
              <w:rPr>
                <w:rFonts w:ascii="Times New Roman" w:eastAsia="Calibri" w:hAnsi="Times New Roman" w:cs="Times New Roman"/>
                <w:sz w:val="24"/>
                <w:szCs w:val="24"/>
              </w:rPr>
              <w:t xml:space="preserve"> and 16</w:t>
            </w:r>
            <w:r w:rsidR="006A2584" w:rsidRPr="006A2584">
              <w:rPr>
                <w:rFonts w:ascii="Times New Roman" w:eastAsia="Calibri" w:hAnsi="Times New Roman" w:cs="Times New Roman"/>
                <w:sz w:val="24"/>
                <w:szCs w:val="24"/>
                <w:vertAlign w:val="superscript"/>
              </w:rPr>
              <w:t>th</w:t>
            </w:r>
            <w:r w:rsidRPr="00B64E68">
              <w:rPr>
                <w:rFonts w:ascii="Times New Roman" w:eastAsia="Calibri" w:hAnsi="Times New Roman" w:cs="Times New Roman"/>
                <w:sz w:val="24"/>
                <w:szCs w:val="24"/>
              </w:rPr>
              <w:t xml:space="preserve"> report</w:t>
            </w:r>
            <w:r w:rsidR="006A2584">
              <w:rPr>
                <w:rFonts w:ascii="Times New Roman" w:eastAsia="Calibri" w:hAnsi="Times New Roman" w:cs="Times New Roman"/>
                <w:sz w:val="24"/>
                <w:szCs w:val="24"/>
              </w:rPr>
              <w:t>s</w:t>
            </w:r>
            <w:r w:rsidRPr="00B64E68">
              <w:rPr>
                <w:rFonts w:ascii="Times New Roman" w:eastAsia="Calibri" w:hAnsi="Times New Roman" w:cs="Times New Roman"/>
                <w:sz w:val="24"/>
                <w:szCs w:val="24"/>
              </w:rPr>
              <w:t xml:space="preserve">. Contextual information will include employment, production, exports, licenses, barter and </w:t>
            </w:r>
            <w:r w:rsidRPr="00B64E68">
              <w:rPr>
                <w:rFonts w:ascii="Times New Roman" w:eastAsia="Calibri" w:hAnsi="Times New Roman" w:cs="Times New Roman"/>
                <w:sz w:val="24"/>
                <w:szCs w:val="24"/>
              </w:rPr>
              <w:lastRenderedPageBreak/>
              <w:t>infrastructure, state participation, etc.</w:t>
            </w:r>
            <w:r w:rsidR="006A2584">
              <w:rPr>
                <w:rFonts w:ascii="Times New Roman" w:eastAsia="Calibri" w:hAnsi="Times New Roman" w:cs="Times New Roman"/>
                <w:sz w:val="24"/>
                <w:szCs w:val="24"/>
              </w:rPr>
              <w:t xml:space="preserve"> While revenue information will include tax streams recommended by the Independent Administrator in both reports. </w:t>
            </w:r>
          </w:p>
          <w:p w14:paraId="094DB864" w14:textId="5FBB50E6"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To ensure comprehensiveness of companies’ disclosures, the MSG agreed that on the following count of companies to submit production, exports, employment, voluntary and environmental expenditure data. </w:t>
            </w:r>
          </w:p>
          <w:p w14:paraId="05A79299" w14:textId="77777777" w:rsidR="00423D65" w:rsidRPr="00B64E68" w:rsidRDefault="00423D65" w:rsidP="0057476A">
            <w:pPr>
              <w:spacing w:after="80"/>
              <w:jc w:val="both"/>
              <w:rPr>
                <w:rFonts w:ascii="Times New Roman" w:eastAsia="Calibri" w:hAnsi="Times New Roman" w:cs="Times New Roman"/>
                <w:sz w:val="24"/>
                <w:szCs w:val="24"/>
              </w:rPr>
            </w:pPr>
          </w:p>
          <w:p w14:paraId="08AFA8E3" w14:textId="77777777" w:rsidR="00423D65" w:rsidRPr="00B64E68" w:rsidRDefault="00423D65" w:rsidP="0057476A">
            <w:pPr>
              <w:spacing w:after="80"/>
              <w:jc w:val="both"/>
              <w:rPr>
                <w:rFonts w:ascii="Times New Roman" w:eastAsia="Calibri" w:hAnsi="Times New Roman" w:cs="Times New Roman"/>
                <w:sz w:val="24"/>
                <w:szCs w:val="24"/>
              </w:rPr>
            </w:pPr>
          </w:p>
          <w:p w14:paraId="55EED3DF" w14:textId="77777777" w:rsidR="00423D65" w:rsidRPr="00B64E68" w:rsidRDefault="00423D65" w:rsidP="0057476A">
            <w:pPr>
              <w:spacing w:after="80"/>
              <w:jc w:val="both"/>
              <w:rPr>
                <w:rFonts w:ascii="Times New Roman" w:eastAsia="Calibri" w:hAnsi="Times New Roman" w:cs="Times New Roman"/>
                <w:sz w:val="24"/>
                <w:szCs w:val="24"/>
              </w:rPr>
            </w:pPr>
          </w:p>
          <w:p w14:paraId="4642EFD2" w14:textId="77777777" w:rsidR="00423D65" w:rsidRPr="00B64E68" w:rsidRDefault="00423D65" w:rsidP="0057476A">
            <w:pPr>
              <w:spacing w:after="80"/>
              <w:jc w:val="both"/>
              <w:rPr>
                <w:rFonts w:ascii="Times New Roman" w:eastAsia="Calibri" w:hAnsi="Times New Roman" w:cs="Times New Roman"/>
                <w:sz w:val="24"/>
                <w:szCs w:val="24"/>
              </w:rPr>
            </w:pPr>
          </w:p>
          <w:p w14:paraId="10F73504" w14:textId="77777777" w:rsidR="00423D65" w:rsidRPr="00B64E68" w:rsidRDefault="00423D65" w:rsidP="0057476A">
            <w:pPr>
              <w:spacing w:after="80"/>
              <w:jc w:val="both"/>
              <w:rPr>
                <w:rFonts w:ascii="Times New Roman" w:eastAsia="Calibri" w:hAnsi="Times New Roman" w:cs="Times New Roman"/>
                <w:sz w:val="24"/>
                <w:szCs w:val="24"/>
              </w:rPr>
            </w:pPr>
          </w:p>
          <w:p w14:paraId="76B9993D" w14:textId="77777777" w:rsidR="00423D65" w:rsidRPr="00B64E68" w:rsidRDefault="00423D65" w:rsidP="0057476A">
            <w:pPr>
              <w:spacing w:after="80"/>
              <w:jc w:val="both"/>
              <w:rPr>
                <w:rFonts w:ascii="Times New Roman" w:eastAsia="Calibri" w:hAnsi="Times New Roman" w:cs="Times New Roman"/>
                <w:sz w:val="24"/>
                <w:szCs w:val="24"/>
              </w:rPr>
            </w:pPr>
          </w:p>
          <w:p w14:paraId="4938C19B" w14:textId="77777777" w:rsidR="00423D65" w:rsidRPr="00B64E68" w:rsidRDefault="00423D65" w:rsidP="0057476A">
            <w:pPr>
              <w:spacing w:after="80"/>
              <w:jc w:val="both"/>
              <w:rPr>
                <w:rFonts w:ascii="Times New Roman" w:eastAsia="Calibri" w:hAnsi="Times New Roman" w:cs="Times New Roman"/>
                <w:sz w:val="24"/>
                <w:szCs w:val="24"/>
              </w:rPr>
            </w:pPr>
          </w:p>
          <w:p w14:paraId="2168284F" w14:textId="77777777" w:rsidR="00423D65" w:rsidRPr="00B64E68" w:rsidRDefault="00423D65" w:rsidP="0057476A">
            <w:pPr>
              <w:spacing w:after="80"/>
              <w:jc w:val="both"/>
              <w:rPr>
                <w:rFonts w:ascii="Times New Roman" w:eastAsia="Calibri" w:hAnsi="Times New Roman" w:cs="Times New Roman"/>
                <w:sz w:val="24"/>
                <w:szCs w:val="24"/>
              </w:rPr>
            </w:pPr>
          </w:p>
          <w:p w14:paraId="33DF1FBD" w14:textId="77777777" w:rsidR="00423D65" w:rsidRPr="00B64E68" w:rsidRDefault="00423D65" w:rsidP="0057476A">
            <w:pPr>
              <w:spacing w:after="80"/>
              <w:jc w:val="both"/>
              <w:rPr>
                <w:rFonts w:ascii="Times New Roman" w:eastAsia="Calibri" w:hAnsi="Times New Roman" w:cs="Times New Roman"/>
                <w:sz w:val="24"/>
                <w:szCs w:val="24"/>
              </w:rPr>
            </w:pPr>
          </w:p>
          <w:p w14:paraId="11D1629D" w14:textId="77777777" w:rsidR="00423D65" w:rsidRPr="00B64E68" w:rsidRDefault="00423D65" w:rsidP="0057476A">
            <w:pPr>
              <w:spacing w:after="80"/>
              <w:jc w:val="both"/>
              <w:rPr>
                <w:rFonts w:ascii="Times New Roman" w:eastAsia="Calibri" w:hAnsi="Times New Roman" w:cs="Times New Roman"/>
                <w:sz w:val="24"/>
                <w:szCs w:val="24"/>
              </w:rPr>
            </w:pPr>
          </w:p>
          <w:p w14:paraId="28C0E96B" w14:textId="77777777" w:rsidR="00423D65" w:rsidRPr="00B64E68" w:rsidRDefault="00423D65" w:rsidP="0057476A">
            <w:pPr>
              <w:spacing w:after="80"/>
              <w:jc w:val="both"/>
              <w:rPr>
                <w:rFonts w:ascii="Times New Roman" w:eastAsia="Calibri" w:hAnsi="Times New Roman" w:cs="Times New Roman"/>
                <w:sz w:val="24"/>
                <w:szCs w:val="24"/>
              </w:rPr>
            </w:pPr>
          </w:p>
          <w:p w14:paraId="0BC7732F" w14:textId="77777777" w:rsidR="00423D65" w:rsidRPr="00B64E68" w:rsidRDefault="00423D65" w:rsidP="0057476A">
            <w:pPr>
              <w:spacing w:after="80"/>
              <w:jc w:val="both"/>
              <w:rPr>
                <w:rFonts w:ascii="Times New Roman" w:eastAsia="Calibri" w:hAnsi="Times New Roman" w:cs="Times New Roman"/>
                <w:sz w:val="24"/>
                <w:szCs w:val="24"/>
              </w:rPr>
            </w:pPr>
          </w:p>
          <w:p w14:paraId="7D9A8639" w14:textId="77777777" w:rsidR="00423D65" w:rsidRPr="00B64E68" w:rsidRDefault="00423D65" w:rsidP="0057476A">
            <w:pPr>
              <w:spacing w:after="80"/>
              <w:jc w:val="both"/>
              <w:rPr>
                <w:rFonts w:ascii="Times New Roman" w:eastAsia="Calibri" w:hAnsi="Times New Roman" w:cs="Times New Roman"/>
                <w:sz w:val="24"/>
                <w:szCs w:val="24"/>
              </w:rPr>
            </w:pPr>
          </w:p>
          <w:p w14:paraId="2C1C22BB" w14:textId="77777777" w:rsidR="00423D65" w:rsidRPr="00B64E68" w:rsidRDefault="00423D65" w:rsidP="0057476A">
            <w:pPr>
              <w:spacing w:after="80"/>
              <w:jc w:val="both"/>
              <w:rPr>
                <w:rFonts w:ascii="Times New Roman" w:eastAsia="Calibri" w:hAnsi="Times New Roman" w:cs="Times New Roman"/>
                <w:sz w:val="24"/>
                <w:szCs w:val="24"/>
              </w:rPr>
            </w:pPr>
          </w:p>
          <w:p w14:paraId="4E6D3AAC" w14:textId="77777777" w:rsidR="00423D65" w:rsidRPr="00B64E68" w:rsidRDefault="00423D65" w:rsidP="0057476A">
            <w:pPr>
              <w:spacing w:after="80"/>
              <w:jc w:val="both"/>
              <w:rPr>
                <w:rFonts w:ascii="Times New Roman" w:eastAsia="Calibri" w:hAnsi="Times New Roman" w:cs="Times New Roman"/>
                <w:sz w:val="24"/>
                <w:szCs w:val="24"/>
              </w:rPr>
            </w:pPr>
          </w:p>
          <w:p w14:paraId="4F70B10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Petroleum (Exploration and Production) Act (PEPA) is the primary legislation for the oil and gas sector in Liberia. It establishes a fiscal and legal regulatory framework for the management and regulation of petroleum activities in accordance with Articles 7 and 22(b) of the Constitution of the Republic of Liberia. Specifically, it provides the basis for ownership of petroleum and petroleum rights; institutional arrangements, including the establishment of NOCAL and LPRA; licensing, tendering for and granting of </w:t>
            </w:r>
            <w:r w:rsidRPr="00B64E68">
              <w:rPr>
                <w:rFonts w:ascii="Times New Roman" w:eastAsia="Calibri" w:hAnsi="Times New Roman" w:cs="Times New Roman"/>
                <w:sz w:val="24"/>
                <w:szCs w:val="24"/>
              </w:rPr>
              <w:lastRenderedPageBreak/>
              <w:t>petroleum agreements; definition of forms and types of petroleum agreement, state participation; citizen participation; environmental health and safety; and local content and participation. Under the original law, the allocation of petroleum rights was only to be conducted through international competitive tendering. However, in 2019 the law was amended to include allocation of rights through direct negotiations with potential investors and executive allocation to NOCAL. In addition, new blocks were configured in the same year to align with international standards.</w:t>
            </w:r>
          </w:p>
          <w:p w14:paraId="31450E06"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National Oil Company of Liberia (Act) 2000 and as Amended in 2014. The Law establishes NOCAL as the national oil company with the mandate to engage in petroleum exploration, development and production on behalf of the State; lift and mar et State’s entitlement of crude petroleum taken in-kind; hold and manage all interests acquired by the State in all Petroleum agreements or production sharing agreements; and encourage the development of national capabilities in all aspects of petroleum exploration, development and production, among other things.</w:t>
            </w:r>
          </w:p>
          <w:p w14:paraId="4137CEE7" w14:textId="40ACC65F"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Petroleum (Exploration and Production) Law and the Minerals and Mining Act, 2000 provides the legal basis for the State’ participation in the oil and gas and mining sectors respectively. In the oil and Gas sector State is entitled to 10 percent free interest under all Petroleum Agreements. In addition to this, the State has the right to acquire additional 5 percent citizen participation managed by NOCAL. Whiles the Petroleum law </w:t>
            </w:r>
            <w:r w:rsidR="00BC3ED6" w:rsidRPr="00B64E68">
              <w:rPr>
                <w:rFonts w:ascii="Times New Roman" w:eastAsia="Calibri" w:hAnsi="Times New Roman" w:cs="Times New Roman"/>
                <w:sz w:val="24"/>
                <w:szCs w:val="24"/>
              </w:rPr>
              <w:t>requires</w:t>
            </w:r>
            <w:r w:rsidRPr="00B64E68">
              <w:rPr>
                <w:rFonts w:ascii="Times New Roman" w:eastAsia="Calibri" w:hAnsi="Times New Roman" w:cs="Times New Roman"/>
                <w:sz w:val="24"/>
                <w:szCs w:val="24"/>
              </w:rPr>
              <w:t xml:space="preserve"> a total of 15 percent carried interest, the model PSC published by NOCAL intents a total of 10 percent carried interest for the State. Similarly, </w:t>
            </w:r>
            <w:r w:rsidRPr="00B64E68">
              <w:rPr>
                <w:rFonts w:ascii="Times New Roman" w:eastAsia="Calibri" w:hAnsi="Times New Roman" w:cs="Times New Roman"/>
                <w:sz w:val="24"/>
                <w:szCs w:val="24"/>
              </w:rPr>
              <w:lastRenderedPageBreak/>
              <w:t>in the mining sector the government is entitled to free equity interest of not less than 10 percent and not more than 15 percent.</w:t>
            </w:r>
          </w:p>
          <w:p w14:paraId="15093BC7" w14:textId="77777777" w:rsidR="00423D65" w:rsidRPr="00824BA9" w:rsidRDefault="00423D65" w:rsidP="0057476A">
            <w:pPr>
              <w:spacing w:after="80"/>
              <w:jc w:val="both"/>
              <w:rPr>
                <w:rFonts w:ascii="Times New Roman" w:eastAsia="Calibri" w:hAnsi="Times New Roman" w:cs="Times New Roman"/>
                <w:sz w:val="24"/>
                <w:szCs w:val="24"/>
              </w:rPr>
            </w:pPr>
            <w:r w:rsidRPr="00824BA9">
              <w:rPr>
                <w:rFonts w:ascii="Times New Roman" w:eastAsia="Calibri" w:hAnsi="Times New Roman" w:cs="Times New Roman"/>
                <w:sz w:val="24"/>
                <w:szCs w:val="24"/>
              </w:rPr>
              <w:t>Under the new Petroleum (Exploration and Production) Act, NOCALs role has been restated. NOCAL is expected to play a more commercial role whiles its original regulatory roles have been transferred to the Liberian Petroleum Regulatory Authority. The new functions of NOCAL include:</w:t>
            </w:r>
          </w:p>
          <w:p w14:paraId="1E46FC30" w14:textId="77777777" w:rsidR="00423D65" w:rsidRPr="00B64E68" w:rsidRDefault="00423D65" w:rsidP="0057476A">
            <w:pPr>
              <w:spacing w:after="80"/>
              <w:jc w:val="both"/>
              <w:rPr>
                <w:rFonts w:ascii="Times New Roman" w:eastAsia="Calibri" w:hAnsi="Times New Roman" w:cs="Times New Roman"/>
                <w:sz w:val="24"/>
                <w:szCs w:val="24"/>
              </w:rPr>
            </w:pPr>
          </w:p>
          <w:p w14:paraId="24458E70"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National Oil Company of Liberia (NOCAL) operates as a state-owned enterprise.  However, oil has not been discovered in commercial quantity; hence, no production occurs in the industry, and the state’s share of production is not applicable. </w:t>
            </w:r>
          </w:p>
          <w:p w14:paraId="1B761FBA" w14:textId="77777777" w:rsidR="00423D65" w:rsidRPr="00B64E68" w:rsidRDefault="00423D65" w:rsidP="0057476A">
            <w:pPr>
              <w:spacing w:after="80"/>
              <w:jc w:val="both"/>
              <w:rPr>
                <w:rFonts w:ascii="Times New Roman" w:eastAsia="Calibri" w:hAnsi="Times New Roman" w:cs="Times New Roman"/>
                <w:sz w:val="24"/>
                <w:szCs w:val="24"/>
              </w:rPr>
            </w:pPr>
          </w:p>
          <w:p w14:paraId="1DABEF86" w14:textId="77777777" w:rsidR="00423D65" w:rsidRPr="00B64E68" w:rsidRDefault="00423D65" w:rsidP="0057476A">
            <w:pPr>
              <w:spacing w:after="80"/>
              <w:jc w:val="both"/>
              <w:rPr>
                <w:rFonts w:ascii="Times New Roman" w:eastAsia="Calibri" w:hAnsi="Times New Roman" w:cs="Times New Roman"/>
                <w:sz w:val="24"/>
                <w:szCs w:val="24"/>
              </w:rPr>
            </w:pPr>
          </w:p>
          <w:p w14:paraId="6810B00F" w14:textId="77777777" w:rsidR="00423D65" w:rsidRPr="00B64E68" w:rsidRDefault="00423D65" w:rsidP="0057476A">
            <w:pPr>
              <w:spacing w:after="80"/>
              <w:jc w:val="both"/>
              <w:rPr>
                <w:rFonts w:ascii="Times New Roman" w:eastAsia="Calibri" w:hAnsi="Times New Roman" w:cs="Times New Roman"/>
                <w:sz w:val="24"/>
                <w:szCs w:val="24"/>
              </w:rPr>
            </w:pPr>
          </w:p>
          <w:p w14:paraId="633F1B1F" w14:textId="77777777" w:rsidR="00423D65" w:rsidRPr="00B64E68" w:rsidRDefault="00423D65" w:rsidP="0057476A">
            <w:pPr>
              <w:spacing w:after="80"/>
              <w:jc w:val="both"/>
              <w:rPr>
                <w:rFonts w:ascii="Times New Roman" w:eastAsia="Calibri" w:hAnsi="Times New Roman" w:cs="Times New Roman"/>
                <w:sz w:val="24"/>
                <w:szCs w:val="24"/>
              </w:rPr>
            </w:pPr>
          </w:p>
          <w:p w14:paraId="07004EC7" w14:textId="77777777" w:rsidR="00423D65" w:rsidRPr="00B64E68" w:rsidRDefault="00423D65" w:rsidP="0057476A">
            <w:pPr>
              <w:spacing w:after="80"/>
              <w:jc w:val="both"/>
              <w:rPr>
                <w:rFonts w:ascii="Times New Roman" w:eastAsia="Calibri" w:hAnsi="Times New Roman" w:cs="Times New Roman"/>
                <w:sz w:val="24"/>
                <w:szCs w:val="24"/>
              </w:rPr>
            </w:pPr>
          </w:p>
          <w:p w14:paraId="31DAEBF4" w14:textId="77777777" w:rsidR="00423D65" w:rsidRPr="00B64E68" w:rsidRDefault="00423D65" w:rsidP="0057476A">
            <w:pPr>
              <w:spacing w:after="80"/>
              <w:jc w:val="both"/>
              <w:rPr>
                <w:rFonts w:ascii="Times New Roman" w:eastAsia="Calibri" w:hAnsi="Times New Roman" w:cs="Times New Roman"/>
                <w:sz w:val="24"/>
                <w:szCs w:val="24"/>
              </w:rPr>
            </w:pPr>
          </w:p>
          <w:p w14:paraId="369ACA4E" w14:textId="77777777" w:rsidR="00423D65" w:rsidRPr="00B64E68" w:rsidRDefault="00423D65" w:rsidP="0057476A">
            <w:pPr>
              <w:spacing w:after="80"/>
              <w:jc w:val="both"/>
              <w:rPr>
                <w:rFonts w:ascii="Times New Roman" w:eastAsia="Calibri" w:hAnsi="Times New Roman" w:cs="Times New Roman"/>
                <w:sz w:val="24"/>
                <w:szCs w:val="24"/>
              </w:rPr>
            </w:pPr>
          </w:p>
          <w:p w14:paraId="6B4FE3EE" w14:textId="77777777" w:rsidR="00423D65" w:rsidRPr="00B64E68" w:rsidRDefault="00423D65" w:rsidP="0057476A">
            <w:pPr>
              <w:spacing w:after="80"/>
              <w:jc w:val="both"/>
              <w:rPr>
                <w:rFonts w:ascii="Times New Roman" w:eastAsia="Calibri" w:hAnsi="Times New Roman" w:cs="Times New Roman"/>
                <w:sz w:val="24"/>
                <w:szCs w:val="24"/>
              </w:rPr>
            </w:pPr>
          </w:p>
          <w:p w14:paraId="72E81A3E" w14:textId="77777777" w:rsidR="00423D65" w:rsidRPr="00B64E68" w:rsidRDefault="00423D65" w:rsidP="0057476A">
            <w:pPr>
              <w:spacing w:after="80"/>
              <w:jc w:val="both"/>
              <w:rPr>
                <w:rFonts w:ascii="Times New Roman" w:eastAsia="Calibri" w:hAnsi="Times New Roman" w:cs="Times New Roman"/>
                <w:sz w:val="24"/>
                <w:szCs w:val="24"/>
              </w:rPr>
            </w:pPr>
          </w:p>
          <w:p w14:paraId="5FA08FB7" w14:textId="77777777" w:rsidR="00423D65" w:rsidRPr="00B64E68" w:rsidRDefault="00423D65" w:rsidP="006A2584">
            <w:pPr>
              <w:spacing w:after="80" w:line="230" w:lineRule="auto"/>
              <w:ind w:right="22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As mentioned earlier in this paper, the reviewed period assessed Liberia’s compliance with the EITI standard.  According to the initial assessment report, there is an infrastructure arrangement between the Government of Liberia and Arcelor Mittal relative to refurbishing a 243km railway from </w:t>
            </w:r>
            <w:proofErr w:type="spellStart"/>
            <w:r w:rsidRPr="00B64E68">
              <w:rPr>
                <w:rFonts w:ascii="Times New Roman" w:eastAsia="Calibri" w:hAnsi="Times New Roman" w:cs="Times New Roman"/>
                <w:sz w:val="24"/>
                <w:szCs w:val="24"/>
              </w:rPr>
              <w:t>Tokadeh</w:t>
            </w:r>
            <w:proofErr w:type="spellEnd"/>
            <w:r w:rsidRPr="00B64E68">
              <w:rPr>
                <w:rFonts w:ascii="Times New Roman" w:eastAsia="Calibri" w:hAnsi="Times New Roman" w:cs="Times New Roman"/>
                <w:sz w:val="24"/>
                <w:szCs w:val="24"/>
              </w:rPr>
              <w:t xml:space="preserve"> to Buchanan and the Buchanan mineral port. The MDA was initially signed in 2005 and amended in December 2006 and September 2013, with the infrastructure developed as a build-</w:t>
            </w:r>
            <w:r w:rsidRPr="00B64E68">
              <w:rPr>
                <w:rFonts w:ascii="Times New Roman" w:eastAsia="Calibri" w:hAnsi="Times New Roman" w:cs="Times New Roman"/>
                <w:sz w:val="24"/>
                <w:szCs w:val="24"/>
              </w:rPr>
              <w:lastRenderedPageBreak/>
              <w:t>operate-maintain concession where ownership remained with the government.</w:t>
            </w:r>
          </w:p>
          <w:p w14:paraId="2DB650D9"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464867DA"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62C4F9EC"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39B4C9DF"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67B14281"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16514E8B"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483EF1C1"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31CD48FD"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2B75DD84"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63BFCEFE"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5074CF66"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2C454FD3"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7A142E56"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73428D87"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5B3C70A6"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38BA6CD8"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62EE5A75"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6D1118FC"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43F87D9F" w14:textId="77777777" w:rsidR="00423D65" w:rsidRPr="00B64E68" w:rsidRDefault="00423D65" w:rsidP="0057476A">
            <w:pPr>
              <w:spacing w:after="80" w:line="230" w:lineRule="auto"/>
              <w:ind w:left="7" w:right="220"/>
              <w:jc w:val="both"/>
              <w:rPr>
                <w:rFonts w:ascii="Times New Roman" w:eastAsia="Calibri" w:hAnsi="Times New Roman" w:cs="Times New Roman"/>
                <w:sz w:val="24"/>
                <w:szCs w:val="24"/>
              </w:rPr>
            </w:pPr>
          </w:p>
          <w:p w14:paraId="2EF82331" w14:textId="77777777" w:rsidR="00423D65" w:rsidRPr="00B64E68" w:rsidRDefault="00423D65" w:rsidP="0057476A">
            <w:pPr>
              <w:spacing w:after="80" w:line="230" w:lineRule="auto"/>
              <w:ind w:right="22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w:t>
            </w:r>
          </w:p>
          <w:p w14:paraId="006ACDE5" w14:textId="77777777" w:rsidR="00423D65" w:rsidRPr="00B64E68" w:rsidRDefault="00423D65" w:rsidP="0057476A">
            <w:pPr>
              <w:spacing w:after="80"/>
              <w:jc w:val="both"/>
              <w:rPr>
                <w:rFonts w:ascii="Times New Roman" w:eastAsia="Calibri" w:hAnsi="Times New Roman" w:cs="Times New Roman"/>
                <w:sz w:val="24"/>
                <w:szCs w:val="24"/>
              </w:rPr>
            </w:pPr>
          </w:p>
          <w:p w14:paraId="1C697B6C" w14:textId="77777777" w:rsidR="00423D65" w:rsidRPr="00B64E68" w:rsidRDefault="00423D65" w:rsidP="0057476A">
            <w:pPr>
              <w:spacing w:after="80"/>
              <w:jc w:val="both"/>
              <w:rPr>
                <w:rFonts w:ascii="Times New Roman" w:eastAsia="Calibri" w:hAnsi="Times New Roman" w:cs="Times New Roman"/>
                <w:sz w:val="24"/>
                <w:szCs w:val="24"/>
              </w:rPr>
            </w:pPr>
          </w:p>
          <w:p w14:paraId="15B09EAD" w14:textId="77777777" w:rsidR="00423D65" w:rsidRPr="00B64E68" w:rsidRDefault="00423D65" w:rsidP="0057476A">
            <w:pPr>
              <w:spacing w:after="80"/>
              <w:jc w:val="both"/>
              <w:rPr>
                <w:rFonts w:ascii="Times New Roman" w:eastAsia="Calibri" w:hAnsi="Times New Roman" w:cs="Times New Roman"/>
                <w:sz w:val="24"/>
                <w:szCs w:val="24"/>
              </w:rPr>
            </w:pPr>
          </w:p>
          <w:p w14:paraId="33C419EB" w14:textId="77777777" w:rsidR="00423D65" w:rsidRPr="00B64E68" w:rsidRDefault="00423D65" w:rsidP="0057476A">
            <w:pPr>
              <w:spacing w:after="80"/>
              <w:jc w:val="both"/>
              <w:rPr>
                <w:rFonts w:ascii="Times New Roman" w:eastAsia="Calibri" w:hAnsi="Times New Roman" w:cs="Times New Roman"/>
                <w:sz w:val="24"/>
                <w:szCs w:val="24"/>
              </w:rPr>
            </w:pPr>
          </w:p>
          <w:p w14:paraId="05231E02" w14:textId="77777777" w:rsidR="00423D65" w:rsidRPr="00B64E68" w:rsidRDefault="00423D65" w:rsidP="0057476A">
            <w:pPr>
              <w:spacing w:after="80"/>
              <w:jc w:val="both"/>
              <w:rPr>
                <w:rFonts w:ascii="Times New Roman" w:eastAsia="Calibri" w:hAnsi="Times New Roman" w:cs="Times New Roman"/>
                <w:sz w:val="24"/>
                <w:szCs w:val="24"/>
              </w:rPr>
            </w:pPr>
          </w:p>
          <w:p w14:paraId="2F42F574" w14:textId="77777777" w:rsidR="00423D65" w:rsidRPr="00B64E68" w:rsidRDefault="00423D65" w:rsidP="0057476A">
            <w:pPr>
              <w:spacing w:after="80"/>
              <w:jc w:val="both"/>
              <w:rPr>
                <w:rFonts w:ascii="Times New Roman" w:eastAsia="Calibri" w:hAnsi="Times New Roman" w:cs="Times New Roman"/>
                <w:sz w:val="24"/>
                <w:szCs w:val="24"/>
              </w:rPr>
            </w:pPr>
          </w:p>
          <w:p w14:paraId="36CF203F" w14:textId="77777777" w:rsidR="00423D65" w:rsidRPr="00B64E68" w:rsidRDefault="00423D65" w:rsidP="0057476A">
            <w:pPr>
              <w:spacing w:after="80"/>
              <w:jc w:val="both"/>
              <w:rPr>
                <w:rFonts w:ascii="Times New Roman" w:eastAsia="Calibri" w:hAnsi="Times New Roman" w:cs="Times New Roman"/>
                <w:sz w:val="24"/>
                <w:szCs w:val="24"/>
              </w:rPr>
            </w:pPr>
          </w:p>
          <w:p w14:paraId="4314DC74" w14:textId="77777777" w:rsidR="00423D65" w:rsidRPr="00B64E68" w:rsidRDefault="00423D65" w:rsidP="0057476A">
            <w:pPr>
              <w:spacing w:after="80"/>
              <w:jc w:val="both"/>
              <w:rPr>
                <w:rFonts w:ascii="Times New Roman" w:eastAsia="Calibri" w:hAnsi="Times New Roman" w:cs="Times New Roman"/>
                <w:sz w:val="24"/>
                <w:szCs w:val="24"/>
              </w:rPr>
            </w:pPr>
          </w:p>
          <w:p w14:paraId="125A1BEB" w14:textId="77777777" w:rsidR="00423D65" w:rsidRPr="00B64E68" w:rsidRDefault="00423D65" w:rsidP="0057476A">
            <w:pPr>
              <w:spacing w:after="80"/>
              <w:jc w:val="both"/>
              <w:rPr>
                <w:rFonts w:ascii="Times New Roman" w:eastAsia="Calibri" w:hAnsi="Times New Roman" w:cs="Times New Roman"/>
                <w:sz w:val="24"/>
                <w:szCs w:val="24"/>
              </w:rPr>
            </w:pPr>
          </w:p>
          <w:p w14:paraId="25EDCEAE" w14:textId="77777777" w:rsidR="00423D65" w:rsidRPr="00B64E68" w:rsidRDefault="00423D65" w:rsidP="0057476A">
            <w:pPr>
              <w:spacing w:after="80"/>
              <w:jc w:val="both"/>
              <w:rPr>
                <w:rFonts w:ascii="Times New Roman" w:eastAsia="Calibri" w:hAnsi="Times New Roman" w:cs="Times New Roman"/>
                <w:sz w:val="24"/>
                <w:szCs w:val="24"/>
              </w:rPr>
            </w:pPr>
          </w:p>
          <w:p w14:paraId="2F1EA78D" w14:textId="77777777" w:rsidR="00423D65" w:rsidRPr="00B64E68" w:rsidRDefault="00423D65" w:rsidP="0057476A">
            <w:pPr>
              <w:spacing w:after="80"/>
              <w:jc w:val="both"/>
              <w:rPr>
                <w:rFonts w:ascii="Times New Roman" w:eastAsia="Calibri" w:hAnsi="Times New Roman" w:cs="Times New Roman"/>
                <w:sz w:val="24"/>
                <w:szCs w:val="24"/>
              </w:rPr>
            </w:pPr>
          </w:p>
          <w:p w14:paraId="460EAADB" w14:textId="77777777" w:rsidR="00423D65" w:rsidRPr="00B64E68" w:rsidRDefault="00423D65" w:rsidP="0057476A">
            <w:pPr>
              <w:spacing w:after="80"/>
              <w:jc w:val="both"/>
              <w:rPr>
                <w:rFonts w:ascii="Times New Roman" w:eastAsia="Calibri" w:hAnsi="Times New Roman" w:cs="Times New Roman"/>
                <w:sz w:val="24"/>
                <w:szCs w:val="24"/>
              </w:rPr>
            </w:pPr>
          </w:p>
          <w:p w14:paraId="3BBD7D35" w14:textId="77777777" w:rsidR="00423D65" w:rsidRPr="00B64E68" w:rsidRDefault="00423D65" w:rsidP="0057476A">
            <w:pPr>
              <w:spacing w:after="80"/>
              <w:jc w:val="both"/>
              <w:rPr>
                <w:rFonts w:ascii="Times New Roman" w:eastAsia="Calibri" w:hAnsi="Times New Roman" w:cs="Times New Roman"/>
                <w:sz w:val="24"/>
                <w:szCs w:val="24"/>
              </w:rPr>
            </w:pPr>
          </w:p>
          <w:p w14:paraId="6F793870" w14:textId="77777777" w:rsidR="00423D65" w:rsidRPr="00B64E68" w:rsidRDefault="00423D65" w:rsidP="0057476A">
            <w:pPr>
              <w:spacing w:after="80"/>
              <w:jc w:val="both"/>
              <w:rPr>
                <w:rFonts w:ascii="Times New Roman" w:eastAsia="Calibri" w:hAnsi="Times New Roman" w:cs="Times New Roman"/>
                <w:sz w:val="24"/>
                <w:szCs w:val="24"/>
              </w:rPr>
            </w:pPr>
          </w:p>
          <w:p w14:paraId="187706E4" w14:textId="77777777" w:rsidR="00423D65" w:rsidRPr="00B64E68" w:rsidRDefault="00423D65" w:rsidP="0057476A">
            <w:pPr>
              <w:spacing w:after="80"/>
              <w:jc w:val="both"/>
              <w:rPr>
                <w:rFonts w:ascii="Times New Roman" w:eastAsia="Calibri" w:hAnsi="Times New Roman" w:cs="Times New Roman"/>
                <w:sz w:val="24"/>
                <w:szCs w:val="24"/>
              </w:rPr>
            </w:pPr>
          </w:p>
          <w:p w14:paraId="29502961" w14:textId="77777777" w:rsidR="00423D65" w:rsidRPr="00B64E68" w:rsidRDefault="00423D65" w:rsidP="0057476A">
            <w:pPr>
              <w:spacing w:after="80"/>
              <w:jc w:val="both"/>
              <w:rPr>
                <w:rFonts w:ascii="Times New Roman" w:eastAsia="Calibri" w:hAnsi="Times New Roman" w:cs="Times New Roman"/>
                <w:sz w:val="24"/>
                <w:szCs w:val="24"/>
              </w:rPr>
            </w:pPr>
          </w:p>
          <w:p w14:paraId="3A627A3D"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No subnational transfers were recorded during the reviewed period, and this requirement does not apply to Liberia.</w:t>
            </w:r>
          </w:p>
          <w:p w14:paraId="6EF83C71" w14:textId="77777777" w:rsidR="00423D65" w:rsidRPr="00B64E68" w:rsidRDefault="00423D65" w:rsidP="0057476A">
            <w:pPr>
              <w:spacing w:after="80"/>
              <w:jc w:val="both"/>
              <w:rPr>
                <w:rFonts w:ascii="Times New Roman" w:eastAsia="Calibri" w:hAnsi="Times New Roman" w:cs="Times New Roman"/>
                <w:sz w:val="24"/>
                <w:szCs w:val="24"/>
              </w:rPr>
            </w:pPr>
          </w:p>
          <w:p w14:paraId="4433A36D" w14:textId="77777777" w:rsidR="00423D65" w:rsidRPr="00B64E68" w:rsidRDefault="00423D65" w:rsidP="0057476A">
            <w:pPr>
              <w:spacing w:after="80"/>
              <w:jc w:val="both"/>
              <w:rPr>
                <w:rFonts w:ascii="Times New Roman" w:eastAsia="Calibri" w:hAnsi="Times New Roman" w:cs="Times New Roman"/>
                <w:sz w:val="24"/>
                <w:szCs w:val="24"/>
              </w:rPr>
            </w:pPr>
          </w:p>
          <w:p w14:paraId="0C11677D" w14:textId="77777777" w:rsidR="00423D65" w:rsidRPr="00B64E68" w:rsidRDefault="00423D65" w:rsidP="0057476A">
            <w:pPr>
              <w:spacing w:after="80"/>
              <w:jc w:val="both"/>
              <w:rPr>
                <w:rFonts w:ascii="Times New Roman" w:eastAsia="Calibri" w:hAnsi="Times New Roman" w:cs="Times New Roman"/>
                <w:sz w:val="24"/>
                <w:szCs w:val="24"/>
              </w:rPr>
            </w:pPr>
          </w:p>
          <w:p w14:paraId="12BBE68D" w14:textId="77777777" w:rsidR="00423D65" w:rsidRPr="00B64E68" w:rsidRDefault="00423D65" w:rsidP="0057476A">
            <w:pPr>
              <w:spacing w:after="80"/>
              <w:jc w:val="both"/>
              <w:rPr>
                <w:rFonts w:ascii="Times New Roman" w:eastAsia="Calibri" w:hAnsi="Times New Roman" w:cs="Times New Roman"/>
                <w:sz w:val="24"/>
                <w:szCs w:val="24"/>
              </w:rPr>
            </w:pPr>
          </w:p>
          <w:p w14:paraId="4D887548" w14:textId="77777777" w:rsidR="00423D65" w:rsidRPr="00B64E68" w:rsidRDefault="00423D65" w:rsidP="0057476A">
            <w:pPr>
              <w:spacing w:after="80"/>
              <w:jc w:val="both"/>
              <w:rPr>
                <w:rFonts w:ascii="Times New Roman" w:eastAsia="Calibri" w:hAnsi="Times New Roman" w:cs="Times New Roman"/>
                <w:sz w:val="24"/>
                <w:szCs w:val="24"/>
              </w:rPr>
            </w:pPr>
          </w:p>
          <w:p w14:paraId="07081EA1" w14:textId="77777777" w:rsidR="00423D65" w:rsidRPr="00B64E68" w:rsidRDefault="00423D65" w:rsidP="0057476A">
            <w:pPr>
              <w:spacing w:after="80"/>
              <w:jc w:val="both"/>
              <w:rPr>
                <w:rFonts w:ascii="Times New Roman" w:eastAsia="Calibri" w:hAnsi="Times New Roman" w:cs="Times New Roman"/>
                <w:sz w:val="24"/>
                <w:szCs w:val="24"/>
              </w:rPr>
            </w:pPr>
          </w:p>
          <w:p w14:paraId="673DC314" w14:textId="77777777" w:rsidR="00BC3ED6" w:rsidRDefault="00BC3ED6" w:rsidP="0057476A">
            <w:pPr>
              <w:spacing w:after="80"/>
              <w:jc w:val="both"/>
              <w:rPr>
                <w:rFonts w:ascii="Times New Roman" w:eastAsia="Calibri" w:hAnsi="Times New Roman" w:cs="Times New Roman"/>
                <w:sz w:val="24"/>
                <w:szCs w:val="24"/>
              </w:rPr>
            </w:pPr>
          </w:p>
          <w:p w14:paraId="71EAB18B" w14:textId="4B87C65F" w:rsidR="00BC3ED6" w:rsidRDefault="00BC3ED6"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MSG while approving the inception report, agreed with the Independent Administrator proposal to ensure the disaggregation </w:t>
            </w:r>
            <w:r w:rsidR="00A15828">
              <w:rPr>
                <w:rFonts w:ascii="Times New Roman" w:eastAsia="Calibri" w:hAnsi="Times New Roman" w:cs="Times New Roman"/>
                <w:sz w:val="24"/>
                <w:szCs w:val="24"/>
              </w:rPr>
              <w:t xml:space="preserve">of EITI data by project. However, there is no project reporting in Liberia. </w:t>
            </w:r>
          </w:p>
          <w:p w14:paraId="3F9F7000" w14:textId="77777777" w:rsidR="00BC3ED6" w:rsidRDefault="00BC3ED6" w:rsidP="0057476A">
            <w:pPr>
              <w:spacing w:after="80"/>
              <w:jc w:val="both"/>
              <w:rPr>
                <w:rFonts w:ascii="Times New Roman" w:eastAsia="Calibri" w:hAnsi="Times New Roman" w:cs="Times New Roman"/>
                <w:sz w:val="24"/>
                <w:szCs w:val="24"/>
              </w:rPr>
            </w:pPr>
          </w:p>
          <w:p w14:paraId="10D8AFB0" w14:textId="77777777" w:rsidR="00BC3ED6" w:rsidRDefault="00BC3ED6" w:rsidP="0057476A">
            <w:pPr>
              <w:spacing w:after="80"/>
              <w:jc w:val="both"/>
              <w:rPr>
                <w:rFonts w:ascii="Times New Roman" w:eastAsia="Calibri" w:hAnsi="Times New Roman" w:cs="Times New Roman"/>
                <w:sz w:val="24"/>
                <w:szCs w:val="24"/>
              </w:rPr>
            </w:pPr>
          </w:p>
          <w:p w14:paraId="07F6B362" w14:textId="77777777" w:rsidR="00BC3ED6" w:rsidRDefault="00BC3ED6" w:rsidP="0057476A">
            <w:pPr>
              <w:spacing w:after="80"/>
              <w:jc w:val="both"/>
              <w:rPr>
                <w:rFonts w:ascii="Times New Roman" w:eastAsia="Calibri" w:hAnsi="Times New Roman" w:cs="Times New Roman"/>
                <w:sz w:val="24"/>
                <w:szCs w:val="24"/>
              </w:rPr>
            </w:pPr>
          </w:p>
          <w:p w14:paraId="7623A0B3" w14:textId="77777777" w:rsidR="00BC3ED6" w:rsidRDefault="00BC3ED6" w:rsidP="0057476A">
            <w:pPr>
              <w:spacing w:after="80"/>
              <w:jc w:val="both"/>
              <w:rPr>
                <w:rFonts w:ascii="Times New Roman" w:eastAsia="Calibri" w:hAnsi="Times New Roman" w:cs="Times New Roman"/>
                <w:sz w:val="24"/>
                <w:szCs w:val="24"/>
              </w:rPr>
            </w:pPr>
          </w:p>
          <w:p w14:paraId="500F1ABB" w14:textId="024BB1B6" w:rsidR="00BC3ED6" w:rsidRDefault="00A15828" w:rsidP="0057476A">
            <w:pPr>
              <w:spacing w:after="80"/>
              <w:jc w:val="both"/>
              <w:rPr>
                <w:rFonts w:ascii="Times New Roman" w:eastAsia="Calibri" w:hAnsi="Times New Roman" w:cs="Times New Roman"/>
                <w:sz w:val="24"/>
                <w:szCs w:val="24"/>
              </w:rPr>
            </w:pPr>
            <w:r>
              <w:rPr>
                <w:rFonts w:ascii="Times New Roman" w:eastAsia="Calibri" w:hAnsi="Times New Roman" w:cs="Times New Roman"/>
                <w:sz w:val="24"/>
                <w:szCs w:val="24"/>
              </w:rPr>
              <w:t>The launched of LEITI 16</w:t>
            </w:r>
            <w:r w:rsidRPr="00A15828">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EITI Report for the fiscal year 2023 illustrates that the MSG is current with its EITI report in line with the Standard. </w:t>
            </w:r>
          </w:p>
          <w:p w14:paraId="7278871B" w14:textId="77777777" w:rsidR="00BC3ED6" w:rsidRDefault="00BC3ED6" w:rsidP="0057476A">
            <w:pPr>
              <w:spacing w:after="80"/>
              <w:jc w:val="both"/>
              <w:rPr>
                <w:rFonts w:ascii="Times New Roman" w:eastAsia="Calibri" w:hAnsi="Times New Roman" w:cs="Times New Roman"/>
                <w:sz w:val="24"/>
                <w:szCs w:val="24"/>
              </w:rPr>
            </w:pPr>
          </w:p>
          <w:p w14:paraId="0DD7D9E4" w14:textId="77777777" w:rsidR="00BC3ED6" w:rsidRDefault="00BC3ED6" w:rsidP="0057476A">
            <w:pPr>
              <w:spacing w:after="80"/>
              <w:jc w:val="both"/>
              <w:rPr>
                <w:rFonts w:ascii="Times New Roman" w:eastAsia="Calibri" w:hAnsi="Times New Roman" w:cs="Times New Roman"/>
                <w:sz w:val="24"/>
                <w:szCs w:val="24"/>
              </w:rPr>
            </w:pPr>
          </w:p>
          <w:p w14:paraId="1211D9E1" w14:textId="77777777" w:rsidR="00BC3ED6" w:rsidRDefault="00BC3ED6" w:rsidP="0057476A">
            <w:pPr>
              <w:spacing w:after="80"/>
              <w:jc w:val="both"/>
              <w:rPr>
                <w:rFonts w:ascii="Times New Roman" w:eastAsia="Calibri" w:hAnsi="Times New Roman" w:cs="Times New Roman"/>
                <w:sz w:val="24"/>
                <w:szCs w:val="24"/>
              </w:rPr>
            </w:pPr>
          </w:p>
          <w:p w14:paraId="257653D9" w14:textId="77777777" w:rsidR="00BC3ED6" w:rsidRDefault="00BC3ED6" w:rsidP="0057476A">
            <w:pPr>
              <w:spacing w:after="80"/>
              <w:jc w:val="both"/>
              <w:rPr>
                <w:rFonts w:ascii="Times New Roman" w:eastAsia="Calibri" w:hAnsi="Times New Roman" w:cs="Times New Roman"/>
                <w:sz w:val="24"/>
                <w:szCs w:val="24"/>
              </w:rPr>
            </w:pPr>
          </w:p>
          <w:p w14:paraId="6825D044" w14:textId="77777777" w:rsidR="00BC3ED6" w:rsidRDefault="00BC3ED6" w:rsidP="0057476A">
            <w:pPr>
              <w:spacing w:after="80"/>
              <w:jc w:val="both"/>
              <w:rPr>
                <w:rFonts w:ascii="Times New Roman" w:eastAsia="Calibri" w:hAnsi="Times New Roman" w:cs="Times New Roman"/>
                <w:sz w:val="24"/>
                <w:szCs w:val="24"/>
              </w:rPr>
            </w:pPr>
          </w:p>
          <w:p w14:paraId="4363FCCF" w14:textId="77777777" w:rsidR="00BC3ED6" w:rsidRDefault="00BC3ED6" w:rsidP="0057476A">
            <w:pPr>
              <w:spacing w:after="80"/>
              <w:jc w:val="both"/>
              <w:rPr>
                <w:rFonts w:ascii="Times New Roman" w:eastAsia="Calibri" w:hAnsi="Times New Roman" w:cs="Times New Roman"/>
                <w:sz w:val="24"/>
                <w:szCs w:val="24"/>
              </w:rPr>
            </w:pPr>
          </w:p>
          <w:p w14:paraId="39D0A563" w14:textId="77777777" w:rsidR="00BC3ED6" w:rsidRDefault="00BC3ED6" w:rsidP="0057476A">
            <w:pPr>
              <w:spacing w:after="80"/>
              <w:jc w:val="both"/>
              <w:rPr>
                <w:rFonts w:ascii="Times New Roman" w:eastAsia="Calibri" w:hAnsi="Times New Roman" w:cs="Times New Roman"/>
                <w:sz w:val="24"/>
                <w:szCs w:val="24"/>
              </w:rPr>
            </w:pPr>
          </w:p>
          <w:p w14:paraId="250D8EA8" w14:textId="77777777" w:rsidR="00A15828" w:rsidRDefault="00A15828" w:rsidP="0057476A">
            <w:pPr>
              <w:spacing w:after="80"/>
              <w:jc w:val="both"/>
              <w:rPr>
                <w:rFonts w:ascii="Times New Roman" w:eastAsia="Calibri" w:hAnsi="Times New Roman" w:cs="Times New Roman"/>
                <w:sz w:val="24"/>
                <w:szCs w:val="24"/>
              </w:rPr>
            </w:pPr>
          </w:p>
          <w:p w14:paraId="16F6F19E" w14:textId="77777777" w:rsidR="00BC3ED6" w:rsidRDefault="00BC3ED6" w:rsidP="0057476A">
            <w:pPr>
              <w:spacing w:after="80"/>
              <w:jc w:val="both"/>
              <w:rPr>
                <w:rFonts w:ascii="Times New Roman" w:eastAsia="Calibri" w:hAnsi="Times New Roman" w:cs="Times New Roman"/>
                <w:sz w:val="24"/>
                <w:szCs w:val="24"/>
              </w:rPr>
            </w:pPr>
          </w:p>
          <w:p w14:paraId="22CE08B4" w14:textId="77777777" w:rsidR="00A15828" w:rsidRDefault="00A15828" w:rsidP="0057476A">
            <w:pPr>
              <w:spacing w:after="80"/>
              <w:jc w:val="both"/>
              <w:rPr>
                <w:rFonts w:ascii="Times New Roman" w:eastAsia="Calibri" w:hAnsi="Times New Roman" w:cs="Times New Roman"/>
                <w:sz w:val="24"/>
                <w:szCs w:val="24"/>
              </w:rPr>
            </w:pPr>
          </w:p>
          <w:p w14:paraId="44BA6F96" w14:textId="77777777" w:rsidR="00A15828" w:rsidRDefault="00A15828" w:rsidP="0057476A">
            <w:pPr>
              <w:spacing w:after="80"/>
              <w:jc w:val="both"/>
              <w:rPr>
                <w:rFonts w:ascii="Times New Roman" w:eastAsia="Calibri" w:hAnsi="Times New Roman" w:cs="Times New Roman"/>
                <w:sz w:val="24"/>
                <w:szCs w:val="24"/>
              </w:rPr>
            </w:pPr>
          </w:p>
          <w:p w14:paraId="212594C5" w14:textId="77777777" w:rsidR="00A15828" w:rsidRDefault="00A15828" w:rsidP="0057476A">
            <w:pPr>
              <w:spacing w:after="80"/>
              <w:jc w:val="both"/>
              <w:rPr>
                <w:rFonts w:ascii="Times New Roman" w:eastAsia="Calibri" w:hAnsi="Times New Roman" w:cs="Times New Roman"/>
                <w:sz w:val="24"/>
                <w:szCs w:val="24"/>
              </w:rPr>
            </w:pPr>
          </w:p>
          <w:p w14:paraId="6EB47FC3" w14:textId="77777777" w:rsidR="00A15828" w:rsidRDefault="00A15828" w:rsidP="0057476A">
            <w:pPr>
              <w:spacing w:after="80"/>
              <w:jc w:val="both"/>
              <w:rPr>
                <w:rFonts w:ascii="Times New Roman" w:eastAsia="Calibri" w:hAnsi="Times New Roman" w:cs="Times New Roman"/>
                <w:sz w:val="24"/>
                <w:szCs w:val="24"/>
              </w:rPr>
            </w:pPr>
          </w:p>
          <w:p w14:paraId="27F1F63C" w14:textId="77777777" w:rsidR="00A15828" w:rsidRDefault="00A15828" w:rsidP="0057476A">
            <w:pPr>
              <w:spacing w:after="80"/>
              <w:jc w:val="both"/>
              <w:rPr>
                <w:rFonts w:ascii="Times New Roman" w:eastAsia="Calibri" w:hAnsi="Times New Roman" w:cs="Times New Roman"/>
                <w:sz w:val="24"/>
                <w:szCs w:val="24"/>
              </w:rPr>
            </w:pPr>
          </w:p>
          <w:p w14:paraId="39882089" w14:textId="77777777" w:rsidR="00A15828" w:rsidRDefault="00A15828" w:rsidP="0057476A">
            <w:pPr>
              <w:spacing w:after="80"/>
              <w:jc w:val="both"/>
              <w:rPr>
                <w:rFonts w:ascii="Times New Roman" w:eastAsia="Calibri" w:hAnsi="Times New Roman" w:cs="Times New Roman"/>
                <w:sz w:val="24"/>
                <w:szCs w:val="24"/>
              </w:rPr>
            </w:pPr>
          </w:p>
          <w:p w14:paraId="73710EC4" w14:textId="77777777" w:rsidR="00A15828" w:rsidRDefault="00A15828" w:rsidP="0057476A">
            <w:pPr>
              <w:spacing w:after="80"/>
              <w:jc w:val="both"/>
              <w:rPr>
                <w:rFonts w:ascii="Times New Roman" w:eastAsia="Calibri" w:hAnsi="Times New Roman" w:cs="Times New Roman"/>
                <w:sz w:val="24"/>
                <w:szCs w:val="24"/>
              </w:rPr>
            </w:pPr>
          </w:p>
          <w:p w14:paraId="513C0286" w14:textId="77777777" w:rsidR="00A15828" w:rsidRDefault="00A15828" w:rsidP="0057476A">
            <w:pPr>
              <w:spacing w:after="80"/>
              <w:jc w:val="both"/>
              <w:rPr>
                <w:rFonts w:ascii="Times New Roman" w:eastAsia="Calibri" w:hAnsi="Times New Roman" w:cs="Times New Roman"/>
                <w:sz w:val="24"/>
                <w:szCs w:val="24"/>
              </w:rPr>
            </w:pPr>
          </w:p>
          <w:p w14:paraId="6EC053F1" w14:textId="77777777" w:rsidR="00A15828" w:rsidRDefault="00A15828" w:rsidP="0057476A">
            <w:pPr>
              <w:spacing w:after="80"/>
              <w:jc w:val="both"/>
              <w:rPr>
                <w:rFonts w:ascii="Times New Roman" w:eastAsia="Calibri" w:hAnsi="Times New Roman" w:cs="Times New Roman"/>
                <w:sz w:val="24"/>
                <w:szCs w:val="24"/>
              </w:rPr>
            </w:pPr>
          </w:p>
          <w:p w14:paraId="19C3283D" w14:textId="0639B423"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BDO, in collaboration with </w:t>
            </w:r>
            <w:r w:rsidR="00BC3ED6">
              <w:rPr>
                <w:rFonts w:ascii="Times New Roman" w:eastAsia="Calibri" w:hAnsi="Times New Roman" w:cs="Times New Roman"/>
                <w:sz w:val="24"/>
                <w:szCs w:val="24"/>
              </w:rPr>
              <w:t>HLB</w:t>
            </w:r>
            <w:r w:rsidRPr="00B64E68">
              <w:rPr>
                <w:rFonts w:ascii="Times New Roman" w:eastAsia="Calibri" w:hAnsi="Times New Roman" w:cs="Times New Roman"/>
                <w:sz w:val="24"/>
                <w:szCs w:val="24"/>
              </w:rPr>
              <w:t>, prepared Liberia’s EITI 1</w:t>
            </w:r>
            <w:r w:rsidR="00BC3ED6">
              <w:rPr>
                <w:rFonts w:ascii="Times New Roman" w:eastAsia="Calibri" w:hAnsi="Times New Roman" w:cs="Times New Roman"/>
                <w:sz w:val="24"/>
                <w:szCs w:val="24"/>
              </w:rPr>
              <w:t>5</w:t>
            </w:r>
            <w:r w:rsidRPr="00BC3ED6">
              <w:rPr>
                <w:rFonts w:ascii="Times New Roman" w:eastAsia="Calibri" w:hAnsi="Times New Roman" w:cs="Times New Roman"/>
                <w:sz w:val="24"/>
                <w:szCs w:val="24"/>
                <w:vertAlign w:val="superscript"/>
              </w:rPr>
              <w:t>th</w:t>
            </w:r>
            <w:r w:rsidR="00BC3ED6">
              <w:rPr>
                <w:rFonts w:ascii="Times New Roman" w:eastAsia="Calibri" w:hAnsi="Times New Roman" w:cs="Times New Roman"/>
                <w:sz w:val="24"/>
                <w:szCs w:val="24"/>
              </w:rPr>
              <w:t xml:space="preserve"> and 16</w:t>
            </w:r>
            <w:r w:rsidR="00BC3ED6" w:rsidRPr="00BC3ED6">
              <w:rPr>
                <w:rFonts w:ascii="Times New Roman" w:eastAsia="Calibri" w:hAnsi="Times New Roman" w:cs="Times New Roman"/>
                <w:sz w:val="24"/>
                <w:szCs w:val="24"/>
                <w:vertAlign w:val="superscript"/>
              </w:rPr>
              <w:t>th</w:t>
            </w:r>
            <w:r w:rsidR="00BC3ED6">
              <w:rPr>
                <w:rFonts w:ascii="Times New Roman" w:eastAsia="Calibri" w:hAnsi="Times New Roman" w:cs="Times New Roman"/>
                <w:sz w:val="24"/>
                <w:szCs w:val="24"/>
              </w:rPr>
              <w:t xml:space="preserve"> EITI</w:t>
            </w:r>
            <w:r w:rsidRPr="00B64E68">
              <w:rPr>
                <w:rFonts w:ascii="Times New Roman" w:eastAsia="Calibri" w:hAnsi="Times New Roman" w:cs="Times New Roman"/>
                <w:sz w:val="24"/>
                <w:szCs w:val="24"/>
              </w:rPr>
              <w:t xml:space="preserve"> report</w:t>
            </w:r>
            <w:r w:rsidR="00BC3ED6">
              <w:rPr>
                <w:rFonts w:ascii="Times New Roman" w:eastAsia="Calibri" w:hAnsi="Times New Roman" w:cs="Times New Roman"/>
                <w:sz w:val="24"/>
                <w:szCs w:val="24"/>
              </w:rPr>
              <w:t>s</w:t>
            </w:r>
            <w:r w:rsidRPr="00B64E68">
              <w:rPr>
                <w:rFonts w:ascii="Times New Roman" w:eastAsia="Calibri" w:hAnsi="Times New Roman" w:cs="Times New Roman"/>
                <w:sz w:val="24"/>
                <w:szCs w:val="24"/>
              </w:rPr>
              <w:t>.  The IA was hired through a competitive process guided by Liberia’s Public Procurement and Concession Law. To comply with EITI Requirement 4.9 and to ensure the credibility of the data submitted, the IA set the following:</w:t>
            </w:r>
          </w:p>
          <w:p w14:paraId="6EEB7211" w14:textId="77777777" w:rsidR="00423D65" w:rsidRPr="00B64E68" w:rsidRDefault="00423D65" w:rsidP="00423D65">
            <w:pPr>
              <w:numPr>
                <w:ilvl w:val="0"/>
                <w:numId w:val="1"/>
              </w:numPr>
              <w:spacing w:after="0" w:line="240"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For each company, the “Payment/Receipt Report” should be signed off by an authorized senior official (at the board level); - for each Government Agency, the “Payment/Receipt Report” must be signed off by an authorized senior officer; and </w:t>
            </w:r>
          </w:p>
          <w:p w14:paraId="5983E212" w14:textId="77777777" w:rsidR="00423D65" w:rsidRPr="00B64E68" w:rsidRDefault="00423D65" w:rsidP="00423D65">
            <w:pPr>
              <w:numPr>
                <w:ilvl w:val="0"/>
                <w:numId w:val="1"/>
              </w:numPr>
              <w:spacing w:after="0" w:line="240"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each Reporting Template must be certified by an external auditor: • </w:t>
            </w:r>
          </w:p>
          <w:p w14:paraId="3384BBF5" w14:textId="77777777" w:rsidR="00423D65" w:rsidRPr="00B64E68" w:rsidRDefault="00423D65" w:rsidP="00423D65">
            <w:pPr>
              <w:numPr>
                <w:ilvl w:val="0"/>
                <w:numId w:val="1"/>
              </w:numPr>
              <w:spacing w:after="0" w:line="240" w:lineRule="auto"/>
              <w:contextualSpacing/>
              <w:jc w:val="both"/>
              <w:rPr>
                <w:rFonts w:ascii="Times New Roman" w:eastAsia="Calibri" w:hAnsi="Times New Roman" w:cs="Times New Roman"/>
                <w:sz w:val="24"/>
                <w:szCs w:val="24"/>
              </w:rPr>
            </w:pPr>
          </w:p>
          <w:p w14:paraId="062B83AB" w14:textId="4A5CFAAC" w:rsidR="00423D65" w:rsidRPr="00B64E68" w:rsidRDefault="00423D65" w:rsidP="0057476A">
            <w:pPr>
              <w:spacing w:after="80"/>
              <w:ind w:left="720"/>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Extractive companies and NOCAL: are required to obtain confirmations from a registered external auditor that the figures reported in the Reporting Templates are under instructions issued by LEITI, are complete, and are in agreement with the accounts for the </w:t>
            </w:r>
            <w:r w:rsidR="00A15828">
              <w:rPr>
                <w:rFonts w:ascii="Times New Roman" w:eastAsia="Calibri" w:hAnsi="Times New Roman" w:cs="Times New Roman"/>
                <w:sz w:val="24"/>
                <w:szCs w:val="24"/>
              </w:rPr>
              <w:t>period under review</w:t>
            </w:r>
            <w:r w:rsidRPr="00B64E68">
              <w:rPr>
                <w:rFonts w:ascii="Times New Roman" w:eastAsia="Calibri" w:hAnsi="Times New Roman" w:cs="Times New Roman"/>
                <w:sz w:val="24"/>
                <w:szCs w:val="24"/>
              </w:rPr>
              <w:t xml:space="preserve">; and </w:t>
            </w:r>
          </w:p>
          <w:p w14:paraId="4E66EC8B" w14:textId="2DD401AF" w:rsidR="00423D65" w:rsidRPr="00B64E68" w:rsidRDefault="00423D65" w:rsidP="0057476A">
            <w:pPr>
              <w:spacing w:after="80"/>
              <w:ind w:left="720"/>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Government Agencies: are required to obtain confirmation from the Auditor </w:t>
            </w:r>
            <w:r w:rsidRPr="00B64E68">
              <w:rPr>
                <w:rFonts w:ascii="Times New Roman" w:eastAsia="Calibri" w:hAnsi="Times New Roman" w:cs="Times New Roman"/>
                <w:sz w:val="24"/>
                <w:szCs w:val="24"/>
              </w:rPr>
              <w:lastRenderedPageBreak/>
              <w:t xml:space="preserve">General that the transactions reported in the Reporting Templates are under instructions issued by LEITI, are complete, and are in agreement with the accounts of government for the </w:t>
            </w:r>
            <w:r w:rsidR="00A15828">
              <w:rPr>
                <w:rFonts w:ascii="Times New Roman" w:eastAsia="Calibri" w:hAnsi="Times New Roman" w:cs="Times New Roman"/>
                <w:sz w:val="24"/>
                <w:szCs w:val="24"/>
              </w:rPr>
              <w:t xml:space="preserve">period under review. </w:t>
            </w:r>
          </w:p>
          <w:p w14:paraId="5D8D7DE4" w14:textId="0C65B605" w:rsidR="00423D65" w:rsidRPr="00B64E68" w:rsidRDefault="00423D65" w:rsidP="0057476A">
            <w:pPr>
              <w:spacing w:after="80"/>
              <w:ind w:left="720"/>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 extractive companies were encouraged to submit their audited 20</w:t>
            </w:r>
            <w:r w:rsidR="00A15828">
              <w:rPr>
                <w:rFonts w:ascii="Times New Roman" w:eastAsia="Calibri" w:hAnsi="Times New Roman" w:cs="Times New Roman"/>
                <w:sz w:val="24"/>
                <w:szCs w:val="24"/>
              </w:rPr>
              <w:t>23</w:t>
            </w:r>
            <w:r w:rsidRPr="00B64E68">
              <w:rPr>
                <w:rFonts w:ascii="Times New Roman" w:eastAsia="Calibri" w:hAnsi="Times New Roman" w:cs="Times New Roman"/>
                <w:sz w:val="24"/>
                <w:szCs w:val="24"/>
              </w:rPr>
              <w:t xml:space="preserve"> financial statements; and  </w:t>
            </w:r>
          </w:p>
          <w:p w14:paraId="7A43B29A" w14:textId="162A0C80" w:rsidR="00423D65" w:rsidRPr="00A15828" w:rsidRDefault="00423D65" w:rsidP="00A15828">
            <w:pPr>
              <w:spacing w:after="80"/>
              <w:ind w:left="720"/>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w:t>
            </w:r>
            <w:r w:rsidR="00A15828">
              <w:rPr>
                <w:rFonts w:ascii="Times New Roman" w:eastAsia="Calibri" w:hAnsi="Times New Roman" w:cs="Times New Roman"/>
                <w:sz w:val="24"/>
                <w:szCs w:val="24"/>
              </w:rPr>
              <w:t>The</w:t>
            </w:r>
            <w:r w:rsidRPr="00B64E68">
              <w:rPr>
                <w:rFonts w:ascii="Times New Roman" w:eastAsia="Calibri" w:hAnsi="Times New Roman" w:cs="Times New Roman"/>
                <w:sz w:val="24"/>
                <w:szCs w:val="24"/>
              </w:rPr>
              <w:t xml:space="preserve"> Auditor General was required to carry out agreed-upon procedures under international standards in his certification of reporting templates provided by Government Agencies. For any changes to the information provided on the original data collection templates, supporting documents</w:t>
            </w:r>
            <w:r w:rsidR="00A15828">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and/or confirmation from reporting entities will have to be made available to the IA</w:t>
            </w:r>
            <w:r w:rsidR="00A15828">
              <w:rPr>
                <w:rFonts w:ascii="Times New Roman" w:eastAsia="Calibri" w:hAnsi="Times New Roman" w:cs="Times New Roman"/>
                <w:sz w:val="24"/>
                <w:szCs w:val="24"/>
              </w:rPr>
              <w:t>.</w:t>
            </w:r>
          </w:p>
          <w:p w14:paraId="1227ABCB" w14:textId="1CFFE344"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Instructions were developed, including reporting templates and reporting guidelines, requesting extractive companies and government agencies to report all required data. The technical workshop during which the IA presented the following: • reconciliation process; • reconciliation scope; • reporting templates and instructions; • lessons learnt from other reconciliation processes; and • reconciliation issues. The reporting package, including the RTs and the instructions for their completion, was sent electronically to the reporting entities. Extractive companies and government agencies were required to report directly to the IA, to whom they were also requested to direct any queries about the RTs.</w:t>
            </w:r>
          </w:p>
          <w:p w14:paraId="06B258BA" w14:textId="3D997924" w:rsidR="00423D65" w:rsidRPr="00A15828" w:rsidRDefault="00423D65" w:rsidP="0057476A">
            <w:pPr>
              <w:spacing w:after="80"/>
              <w:jc w:val="both"/>
              <w:rPr>
                <w:rFonts w:ascii="Times New Roman" w:eastAsia="Calibri" w:hAnsi="Times New Roman" w:cs="Times New Roman"/>
                <w:color w:val="FF0000"/>
                <w:sz w:val="24"/>
                <w:szCs w:val="24"/>
              </w:rPr>
            </w:pPr>
            <w:r w:rsidRPr="00B64E68">
              <w:rPr>
                <w:rFonts w:ascii="Times New Roman" w:eastAsia="Calibri" w:hAnsi="Times New Roman" w:cs="Times New Roman"/>
                <w:sz w:val="24"/>
                <w:szCs w:val="24"/>
              </w:rPr>
              <w:t>The LEITI MSG agreed to include the mining, agricultural</w:t>
            </w:r>
            <w:r w:rsidR="00A15828">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and forestry sectors in the reconciliation scope. Based on the revenue structures collected by the LRA, the LEITI </w:t>
            </w:r>
            <w:r w:rsidRPr="00B64E68">
              <w:rPr>
                <w:rFonts w:ascii="Times New Roman" w:eastAsia="Calibri" w:hAnsi="Times New Roman" w:cs="Times New Roman"/>
                <w:sz w:val="24"/>
                <w:szCs w:val="24"/>
              </w:rPr>
              <w:lastRenderedPageBreak/>
              <w:t>MSG agreed to include six (</w:t>
            </w:r>
            <w:r w:rsidR="00A15828">
              <w:rPr>
                <w:rFonts w:ascii="Times New Roman" w:eastAsia="Calibri" w:hAnsi="Times New Roman" w:cs="Times New Roman"/>
                <w:sz w:val="24"/>
                <w:szCs w:val="24"/>
              </w:rPr>
              <w:t>4</w:t>
            </w:r>
            <w:r w:rsidRPr="00B64E68">
              <w:rPr>
                <w:rFonts w:ascii="Times New Roman" w:eastAsia="Calibri" w:hAnsi="Times New Roman" w:cs="Times New Roman"/>
                <w:sz w:val="24"/>
                <w:szCs w:val="24"/>
              </w:rPr>
              <w:t>) mining companies, six (</w:t>
            </w:r>
            <w:r w:rsidR="00A15828">
              <w:rPr>
                <w:rFonts w:ascii="Times New Roman" w:eastAsia="Calibri" w:hAnsi="Times New Roman" w:cs="Times New Roman"/>
                <w:sz w:val="24"/>
                <w:szCs w:val="24"/>
              </w:rPr>
              <w:t>5</w:t>
            </w:r>
            <w:r w:rsidRPr="00B64E68">
              <w:rPr>
                <w:rFonts w:ascii="Times New Roman" w:eastAsia="Calibri" w:hAnsi="Times New Roman" w:cs="Times New Roman"/>
                <w:sz w:val="24"/>
                <w:szCs w:val="24"/>
              </w:rPr>
              <w:t>) agricultural companies and nine (</w:t>
            </w:r>
            <w:r w:rsidR="00A15828">
              <w:rPr>
                <w:rFonts w:ascii="Times New Roman" w:eastAsia="Calibri" w:hAnsi="Times New Roman" w:cs="Times New Roman"/>
                <w:sz w:val="24"/>
                <w:szCs w:val="24"/>
              </w:rPr>
              <w:t>5</w:t>
            </w:r>
            <w:r w:rsidRPr="00B64E68">
              <w:rPr>
                <w:rFonts w:ascii="Times New Roman" w:eastAsia="Calibri" w:hAnsi="Times New Roman" w:cs="Times New Roman"/>
                <w:sz w:val="24"/>
                <w:szCs w:val="24"/>
              </w:rPr>
              <w:t>) forestry companies, which held active licenses during the period from 1 J</w:t>
            </w:r>
            <w:r w:rsidR="00A15828">
              <w:rPr>
                <w:rFonts w:ascii="Times New Roman" w:eastAsia="Calibri" w:hAnsi="Times New Roman" w:cs="Times New Roman"/>
                <w:sz w:val="24"/>
                <w:szCs w:val="24"/>
              </w:rPr>
              <w:t>anuary</w:t>
            </w:r>
            <w:r w:rsidRPr="00B64E68">
              <w:rPr>
                <w:rFonts w:ascii="Times New Roman" w:eastAsia="Calibri" w:hAnsi="Times New Roman" w:cs="Times New Roman"/>
                <w:sz w:val="24"/>
                <w:szCs w:val="24"/>
              </w:rPr>
              <w:t xml:space="preserve"> 202</w:t>
            </w:r>
            <w:r w:rsidR="00A15828">
              <w:rPr>
                <w:rFonts w:ascii="Times New Roman" w:eastAsia="Calibri" w:hAnsi="Times New Roman" w:cs="Times New Roman"/>
                <w:sz w:val="24"/>
                <w:szCs w:val="24"/>
              </w:rPr>
              <w:t>3</w:t>
            </w:r>
            <w:r w:rsidRPr="00B64E68">
              <w:rPr>
                <w:rFonts w:ascii="Times New Roman" w:eastAsia="Calibri" w:hAnsi="Times New Roman" w:cs="Times New Roman"/>
                <w:sz w:val="24"/>
                <w:szCs w:val="24"/>
              </w:rPr>
              <w:t xml:space="preserve"> to 31 December 202</w:t>
            </w:r>
            <w:r w:rsidR="00A15828">
              <w:rPr>
                <w:rFonts w:ascii="Times New Roman" w:eastAsia="Calibri" w:hAnsi="Times New Roman" w:cs="Times New Roman"/>
                <w:sz w:val="24"/>
                <w:szCs w:val="24"/>
              </w:rPr>
              <w:t>3</w:t>
            </w:r>
            <w:r w:rsidRPr="00B64E68">
              <w:rPr>
                <w:rFonts w:ascii="Times New Roman" w:eastAsia="Calibri" w:hAnsi="Times New Roman" w:cs="Times New Roman"/>
                <w:sz w:val="24"/>
                <w:szCs w:val="24"/>
              </w:rPr>
              <w:t xml:space="preserve"> and which made payments over the materiality threshold of S 1,000,000 for the mining and agricultural sectors and S 100,000 for the forestry sector. </w:t>
            </w:r>
          </w:p>
          <w:p w14:paraId="03029863" w14:textId="5A2B61A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To ensure that EITI data submitted by reporting entities had been subject to credible, independent audits, applying international standards on auditing, the LEITI MSG agreed on the following approach </w:t>
            </w:r>
            <w:r w:rsidR="00A15828">
              <w:rPr>
                <w:rFonts w:ascii="Times New Roman" w:eastAsia="Calibri" w:hAnsi="Times New Roman" w:cs="Times New Roman"/>
                <w:sz w:val="24"/>
                <w:szCs w:val="24"/>
              </w:rPr>
              <w:t>about</w:t>
            </w:r>
            <w:r w:rsidRPr="00B64E68">
              <w:rPr>
                <w:rFonts w:ascii="Times New Roman" w:eastAsia="Calibri" w:hAnsi="Times New Roman" w:cs="Times New Roman"/>
                <w:sz w:val="24"/>
                <w:szCs w:val="24"/>
              </w:rPr>
              <w:t xml:space="preserve"> the reporting process by Government Agencies and extractive companies included in the LEITI reporting scope: </w:t>
            </w:r>
          </w:p>
          <w:p w14:paraId="159CC604" w14:textId="28D43D88" w:rsidR="00423D65" w:rsidRPr="00B64E68" w:rsidRDefault="00423D65" w:rsidP="0057476A">
            <w:pPr>
              <w:spacing w:after="80"/>
              <w:jc w:val="both"/>
              <w:rPr>
                <w:rFonts w:ascii="Times New Roman" w:eastAsia="Calibri" w:hAnsi="Times New Roman" w:cs="Times New Roman"/>
                <w:sz w:val="24"/>
                <w:szCs w:val="24"/>
              </w:rPr>
            </w:pPr>
            <w:r w:rsidRPr="00B64E68">
              <w:rPr>
                <w:rFonts w:ascii="Segoe UI Symbol" w:eastAsia="Calibri" w:hAnsi="Segoe UI Symbol" w:cs="Segoe UI Symbol"/>
                <w:sz w:val="24"/>
                <w:szCs w:val="24"/>
              </w:rPr>
              <w:t>✓</w:t>
            </w:r>
            <w:r w:rsidRPr="00B64E68">
              <w:rPr>
                <w:rFonts w:ascii="Times New Roman" w:eastAsia="Calibri" w:hAnsi="Times New Roman" w:cs="Times New Roman"/>
                <w:sz w:val="24"/>
                <w:szCs w:val="24"/>
              </w:rPr>
              <w:t xml:space="preserve"> the declarations made by companies and government agencies should be signed by an authorized senior officer (at management level) and an authorized senior official</w:t>
            </w:r>
            <w:r w:rsidR="00A15828">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respectively;</w:t>
            </w:r>
          </w:p>
          <w:p w14:paraId="3A6535D6" w14:textId="64584A25"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w:t>
            </w:r>
            <w:r w:rsidRPr="00B64E68">
              <w:rPr>
                <w:rFonts w:ascii="Segoe UI Symbol" w:eastAsia="Calibri" w:hAnsi="Segoe UI Symbol" w:cs="Segoe UI Symbol"/>
                <w:sz w:val="24"/>
                <w:szCs w:val="24"/>
              </w:rPr>
              <w:t>✓</w:t>
            </w:r>
            <w:r w:rsidRPr="00B64E68">
              <w:rPr>
                <w:rFonts w:ascii="Times New Roman" w:eastAsia="Calibri" w:hAnsi="Times New Roman" w:cs="Times New Roman"/>
                <w:sz w:val="24"/>
                <w:szCs w:val="24"/>
              </w:rPr>
              <w:t xml:space="preserve"> the RTs submitted by government agencies included in the reporting scope</w:t>
            </w:r>
            <w:r w:rsidR="00A15828">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certified by the GAC</w:t>
            </w:r>
            <w:r w:rsidR="00A15828">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who should agree with the government accounts for the reporting period 20</w:t>
            </w:r>
            <w:r w:rsidR="00A15828">
              <w:rPr>
                <w:rFonts w:ascii="Times New Roman" w:eastAsia="Calibri" w:hAnsi="Times New Roman" w:cs="Times New Roman"/>
                <w:sz w:val="24"/>
                <w:szCs w:val="24"/>
              </w:rPr>
              <w:t>23</w:t>
            </w:r>
            <w:r w:rsidRPr="00B64E68">
              <w:rPr>
                <w:rFonts w:ascii="Times New Roman" w:eastAsia="Calibri" w:hAnsi="Times New Roman" w:cs="Times New Roman"/>
                <w:sz w:val="24"/>
                <w:szCs w:val="24"/>
              </w:rPr>
              <w:t xml:space="preserve">; and </w:t>
            </w:r>
          </w:p>
          <w:p w14:paraId="57CF2DEE"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Segoe UI Symbol" w:eastAsia="Calibri" w:hAnsi="Segoe UI Symbol" w:cs="Segoe UI Symbol"/>
                <w:sz w:val="24"/>
                <w:szCs w:val="24"/>
              </w:rPr>
              <w:t>✓</w:t>
            </w:r>
            <w:r w:rsidRPr="00B64E68">
              <w:rPr>
                <w:rFonts w:ascii="Times New Roman" w:eastAsia="Calibri" w:hAnsi="Times New Roman" w:cs="Times New Roman"/>
                <w:sz w:val="24"/>
                <w:szCs w:val="24"/>
              </w:rPr>
              <w:t xml:space="preserve"> the RTs submitted by the extractive companies included in the reporting scope should be certified by an external auditor or the statutory auditor for each company; and </w:t>
            </w:r>
          </w:p>
          <w:p w14:paraId="4221DF79" w14:textId="353FBA94" w:rsidR="00423D65" w:rsidRPr="00B64E68" w:rsidRDefault="00423D65" w:rsidP="0057476A">
            <w:pPr>
              <w:spacing w:after="80"/>
              <w:jc w:val="both"/>
              <w:rPr>
                <w:rFonts w:ascii="Times New Roman" w:eastAsia="Calibri" w:hAnsi="Times New Roman" w:cs="Times New Roman"/>
                <w:sz w:val="24"/>
                <w:szCs w:val="24"/>
              </w:rPr>
            </w:pPr>
            <w:r w:rsidRPr="00B64E68">
              <w:rPr>
                <w:rFonts w:ascii="Segoe UI Symbol" w:eastAsia="Calibri" w:hAnsi="Segoe UI Symbol" w:cs="Segoe UI Symbol"/>
                <w:sz w:val="24"/>
                <w:szCs w:val="24"/>
              </w:rPr>
              <w:t>✓</w:t>
            </w:r>
            <w:r w:rsidRPr="00B64E68">
              <w:rPr>
                <w:rFonts w:ascii="Times New Roman" w:eastAsia="Calibri" w:hAnsi="Times New Roman" w:cs="Times New Roman"/>
                <w:sz w:val="24"/>
                <w:szCs w:val="24"/>
              </w:rPr>
              <w:t xml:space="preserve"> </w:t>
            </w:r>
            <w:r w:rsidR="00A15828">
              <w:rPr>
                <w:rFonts w:ascii="Times New Roman" w:eastAsia="Calibri" w:hAnsi="Times New Roman" w:cs="Times New Roman"/>
                <w:sz w:val="24"/>
                <w:szCs w:val="24"/>
              </w:rPr>
              <w:t>All</w:t>
            </w:r>
            <w:r w:rsidRPr="00B64E68">
              <w:rPr>
                <w:rFonts w:ascii="Times New Roman" w:eastAsia="Calibri" w:hAnsi="Times New Roman" w:cs="Times New Roman"/>
                <w:sz w:val="24"/>
                <w:szCs w:val="24"/>
              </w:rPr>
              <w:t xml:space="preserve"> </w:t>
            </w:r>
            <w:r w:rsidR="00A15828">
              <w:rPr>
                <w:rFonts w:ascii="Times New Roman" w:eastAsia="Calibri" w:hAnsi="Times New Roman" w:cs="Times New Roman"/>
                <w:sz w:val="24"/>
                <w:szCs w:val="24"/>
              </w:rPr>
              <w:t xml:space="preserve">extractive </w:t>
            </w:r>
            <w:r w:rsidRPr="00B64E68">
              <w:rPr>
                <w:rFonts w:ascii="Times New Roman" w:eastAsia="Calibri" w:hAnsi="Times New Roman" w:cs="Times New Roman"/>
                <w:sz w:val="24"/>
                <w:szCs w:val="24"/>
              </w:rPr>
              <w:t>reporting entities selected in the reporting scope would be required to submit their audited financial statements for the reporting period 202</w:t>
            </w:r>
            <w:r w:rsidR="00A15828">
              <w:rPr>
                <w:rFonts w:ascii="Times New Roman" w:eastAsia="Calibri" w:hAnsi="Times New Roman" w:cs="Times New Roman"/>
                <w:sz w:val="24"/>
                <w:szCs w:val="24"/>
              </w:rPr>
              <w:t>3</w:t>
            </w:r>
            <w:r w:rsidRPr="00B64E68">
              <w:rPr>
                <w:rFonts w:ascii="Times New Roman" w:eastAsia="Calibri" w:hAnsi="Times New Roman" w:cs="Times New Roman"/>
                <w:sz w:val="24"/>
                <w:szCs w:val="24"/>
              </w:rPr>
              <w:t>.</w:t>
            </w:r>
          </w:p>
          <w:p w14:paraId="288700E5"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5E3A2629"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77D6CBFB"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065C5B44"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2025F594"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6B4AF93E"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3648AE7E"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1D5AF211"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450524EE"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p w14:paraId="7166A57C" w14:textId="77777777" w:rsidR="00423D65" w:rsidRPr="00B64E68" w:rsidRDefault="00423D65" w:rsidP="0057476A">
            <w:pPr>
              <w:spacing w:after="80"/>
              <w:ind w:left="720"/>
              <w:contextualSpacing/>
              <w:jc w:val="both"/>
              <w:rPr>
                <w:rFonts w:ascii="Times New Roman" w:eastAsia="Calibri" w:hAnsi="Times New Roman" w:cs="Times New Roman"/>
                <w:sz w:val="24"/>
                <w:szCs w:val="24"/>
              </w:rPr>
            </w:pPr>
          </w:p>
        </w:tc>
      </w:tr>
      <w:tr w:rsidR="00423D65" w:rsidRPr="00B64E68" w14:paraId="0454FE21" w14:textId="77777777" w:rsidTr="0057476A">
        <w:tc>
          <w:tcPr>
            <w:tcW w:w="4788" w:type="dxa"/>
          </w:tcPr>
          <w:p w14:paraId="10AEC73E"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5.1 Distribution of extractive industry revenues. Implementing countries must disclose a description of the distribution of revenues from the extractive industries. a) Implementing countries should indicate which extractive industry revenues are recorded in the national budget, whether cash or in-kind. Where revenues are not recorded in the national budget, the allocation of these revenues must be explained, with links provided to relevant financial reports as applicable, e.g., sovereign wealth and development funds, sub-national governments, state-owned enterprises, and other extra-budgetary entities. b) Multi-stakeholder groups are encouraged to reference national revenue classification systems and international standards such as the IMF Government Finance Statistics Manual.</w:t>
            </w:r>
          </w:p>
          <w:p w14:paraId="1C1E4089" w14:textId="77777777" w:rsidR="00423D65" w:rsidRPr="00B64E68" w:rsidRDefault="00423D65" w:rsidP="0057476A">
            <w:pPr>
              <w:spacing w:after="80"/>
              <w:jc w:val="both"/>
              <w:rPr>
                <w:rFonts w:ascii="Times New Roman" w:eastAsia="Calibri" w:hAnsi="Times New Roman" w:cs="Times New Roman"/>
                <w:sz w:val="24"/>
                <w:szCs w:val="24"/>
              </w:rPr>
            </w:pPr>
          </w:p>
          <w:p w14:paraId="4F9E854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5.2 Subnational transfers. a) Where transfers between national and sub-national government entities are related to revenues generated by the extractive industries and are mandated by a national constitution, statute, or other revenue-sharing mechanisms, the multi-stakeholder group is required to ensure that material transfers are disclosed. Implementing countries should disclose the revenue-sharing formula and any discrepancies between the transfer amount calculated under the relevant revenue-sharing formula and the actual amount transferred between the central government and each relevant subnational entity. The multi-stakeholder group is </w:t>
            </w:r>
            <w:r w:rsidRPr="00B64E68">
              <w:rPr>
                <w:rFonts w:ascii="Times New Roman" w:eastAsia="Calibri" w:hAnsi="Times New Roman" w:cs="Times New Roman"/>
                <w:sz w:val="24"/>
                <w:szCs w:val="24"/>
              </w:rPr>
              <w:lastRenderedPageBreak/>
              <w:t xml:space="preserve">encouraged to reconcile these transfers. Where there are constitutional or significant practical barriers to the participation of sub-national government entities, the multi-stakeholder group may seek adapted implementation under Requirement 8.1. b) The multi-stakeholder group is encouraged to ensure that any material discretionary or ad-hoc transfers are disclosed and reconciled where possible. </w:t>
            </w:r>
          </w:p>
          <w:p w14:paraId="0F6C203B" w14:textId="77777777" w:rsidR="00423D65" w:rsidRPr="00B64E68" w:rsidRDefault="00423D65" w:rsidP="0057476A">
            <w:pPr>
              <w:spacing w:after="80"/>
              <w:jc w:val="both"/>
              <w:rPr>
                <w:rFonts w:ascii="Times New Roman" w:eastAsia="Calibri" w:hAnsi="Times New Roman" w:cs="Times New Roman"/>
                <w:sz w:val="24"/>
                <w:szCs w:val="24"/>
              </w:rPr>
            </w:pPr>
          </w:p>
          <w:p w14:paraId="421D41B0"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5.3 Revenue management and expenditures. The multi-stakeholder group is encouraged to disclose further information on revenue management and expenditures, including a) A description of any extractive revenues earmarked for specific programs or geographic regions. This should include a description of the methods for ensuring accountability and efficiency. b) A description of the country’s budget and audit processes and links to the publicly available information on budgeting, expenditures, and audit reports. c) Timely information from the government that will further public understanding and debate around revenue sustainability and resource dependence issues. This may include the assumptions underpinning forthcoming years in the budget cycle and relating to projected production, commodity prices, revenue forecasts arising from the extractive industries, and the proportion of future fiscal revenues expected from the extractive sector.</w:t>
            </w:r>
          </w:p>
        </w:tc>
        <w:tc>
          <w:tcPr>
            <w:tcW w:w="4788" w:type="dxa"/>
          </w:tcPr>
          <w:p w14:paraId="776DD700"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The Public Financial Management Act of 2009 represents the legal framework for reforming the institutions and processes involved in the financial and economic governance of Liberia. Section 8.1 of the PFM Law of 2009 and its implementing regulations require that the national budget be prepared “in the context of a medium-term fiscal framework for the purposes of achieving national objectives over a multi-year period”.</w:t>
            </w:r>
          </w:p>
          <w:p w14:paraId="4BDE0194" w14:textId="77777777" w:rsidR="00423D65" w:rsidRPr="00B64E68" w:rsidRDefault="00423D65" w:rsidP="0057476A">
            <w:pPr>
              <w:spacing w:after="80"/>
              <w:jc w:val="both"/>
              <w:rPr>
                <w:rFonts w:ascii="Times New Roman" w:eastAsia="Calibri" w:hAnsi="Times New Roman" w:cs="Times New Roman"/>
                <w:sz w:val="24"/>
                <w:szCs w:val="24"/>
                <w:highlight w:val="yellow"/>
              </w:rPr>
            </w:pPr>
          </w:p>
          <w:p w14:paraId="1EEF57DF" w14:textId="7201C275"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budget process in Liberia is supported by a legal and regulatory framework – the Public Financial Management (PFM) Act of 2009,124 coupled with the Medium-Term Expenditure Framework (MTEF) Budgeting Manual. The Public Financial Management Act of 2009 </w:t>
            </w:r>
            <w:r w:rsidR="00A634A1">
              <w:rPr>
                <w:rFonts w:ascii="Times New Roman" w:eastAsia="Calibri" w:hAnsi="Times New Roman" w:cs="Times New Roman"/>
                <w:sz w:val="24"/>
                <w:szCs w:val="24"/>
              </w:rPr>
              <w:t>establishes the legal framework for reforming the institutions and processes governing Liberia's financial and economic governance</w:t>
            </w:r>
            <w:r w:rsidRPr="00B64E68">
              <w:rPr>
                <w:rFonts w:ascii="Times New Roman" w:eastAsia="Calibri" w:hAnsi="Times New Roman" w:cs="Times New Roman"/>
                <w:sz w:val="24"/>
                <w:szCs w:val="24"/>
              </w:rPr>
              <w:t>.</w:t>
            </w:r>
          </w:p>
          <w:p w14:paraId="38F3A829" w14:textId="1062C9B2" w:rsidR="00423D65" w:rsidRPr="00B74B03" w:rsidRDefault="00423D65" w:rsidP="0057476A">
            <w:pPr>
              <w:spacing w:after="80"/>
              <w:jc w:val="both"/>
              <w:rPr>
                <w:rFonts w:ascii="Times New Roman" w:eastAsia="Calibri" w:hAnsi="Times New Roman" w:cs="Times New Roman"/>
                <w:sz w:val="24"/>
                <w:szCs w:val="24"/>
                <w:highlight w:val="yellow"/>
              </w:rPr>
            </w:pPr>
            <w:r w:rsidRPr="00B64E68">
              <w:rPr>
                <w:rFonts w:ascii="Times New Roman" w:eastAsia="Calibri" w:hAnsi="Times New Roman" w:cs="Times New Roman"/>
                <w:sz w:val="24"/>
                <w:szCs w:val="24"/>
              </w:rPr>
              <w:t xml:space="preserve">The overall purpose of the budget preparation phase is to produce a </w:t>
            </w:r>
            <w:r w:rsidR="00A634A1">
              <w:rPr>
                <w:rFonts w:ascii="Times New Roman" w:eastAsia="Calibri" w:hAnsi="Times New Roman" w:cs="Times New Roman"/>
                <w:sz w:val="24"/>
                <w:szCs w:val="24"/>
              </w:rPr>
              <w:t>policy-focused National Budget that allocates scarce resources as efficiently and effectively as possible</w:t>
            </w:r>
            <w:r w:rsidRPr="00B64E68">
              <w:rPr>
                <w:rFonts w:ascii="Times New Roman" w:eastAsia="Calibri" w:hAnsi="Times New Roman" w:cs="Times New Roman"/>
                <w:sz w:val="24"/>
                <w:szCs w:val="24"/>
              </w:rPr>
              <w:t>. There are two phases of the MTEF budget preparation process: - - Strategic phase: the overall purpose is to work on policies: Both fiscal policy and service delivery policy and priorities. Operational phase: the overall purpose is to develop detailed budgets for each spending entity</w:t>
            </w:r>
            <w:r w:rsidR="00B74B03">
              <w:rPr>
                <w:rFonts w:ascii="Times New Roman" w:eastAsia="Calibri" w:hAnsi="Times New Roman" w:cs="Times New Roman"/>
                <w:sz w:val="24"/>
                <w:szCs w:val="24"/>
              </w:rPr>
              <w:t xml:space="preserve">, based on the agreed priorities established </w:t>
            </w:r>
            <w:r w:rsidRPr="00B64E68">
              <w:rPr>
                <w:rFonts w:ascii="Times New Roman" w:eastAsia="Calibri" w:hAnsi="Times New Roman" w:cs="Times New Roman"/>
                <w:sz w:val="24"/>
                <w:szCs w:val="24"/>
              </w:rPr>
              <w:t>during the strategic phase</w:t>
            </w:r>
            <w:r w:rsidR="00B74B03">
              <w:rPr>
                <w:rFonts w:ascii="Times New Roman" w:eastAsia="Calibri" w:hAnsi="Times New Roman" w:cs="Times New Roman"/>
                <w:sz w:val="24"/>
                <w:szCs w:val="24"/>
              </w:rPr>
              <w:t>.</w:t>
            </w:r>
          </w:p>
          <w:p w14:paraId="76870827" w14:textId="0AC3E5E9"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A subnational transfer does not apply to Liberia, and </w:t>
            </w:r>
            <w:r w:rsidR="00B74B03">
              <w:rPr>
                <w:rFonts w:ascii="Times New Roman" w:eastAsia="Calibri" w:hAnsi="Times New Roman" w:cs="Times New Roman"/>
                <w:sz w:val="24"/>
                <w:szCs w:val="24"/>
              </w:rPr>
              <w:t>none occurred</w:t>
            </w:r>
            <w:r w:rsidRPr="00B64E68">
              <w:rPr>
                <w:rFonts w:ascii="Times New Roman" w:eastAsia="Calibri" w:hAnsi="Times New Roman" w:cs="Times New Roman"/>
                <w:sz w:val="24"/>
                <w:szCs w:val="24"/>
              </w:rPr>
              <w:t xml:space="preserve"> during the review period.</w:t>
            </w:r>
          </w:p>
          <w:p w14:paraId="48316CE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Liberia operates an Open Budget Initiative (OBI), which requires a budget framework paper to support the national budget. The requirements for the Budget Framework Paper are set out in Section 11 of the PFM Act of 2009 and Part D.6 of the Associated Regulations, as follows: </w:t>
            </w:r>
          </w:p>
          <w:p w14:paraId="2B2C0C1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1. The Proposed National Budget to be presented to the Legislature shall be accompanied by the budget framework paper, as outlined in Section 11 of the PFM Act of 2009, updated to reflect the draft budget submitted to the Legislature.</w:t>
            </w:r>
          </w:p>
          <w:p w14:paraId="53D8F2AC"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2. The budget framework paper shall contain the following: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xml:space="preserve">. an analysis of the economic and fiscal trends and the assumptions underlying the budget's medium-term macroeconomic and fiscal framework; ii. an explanation of the government’s policy priorities and how these are reflected in the budget; iii. a statement of key financial risks that may affect budget execution; iv. the essential features of the medium term expenditure framework, where this has been prepared; v. a summary statement of revenues and expenditure performance, using the main economic categories identified in Section 8(d) of the PFM Act of 2009, for the last two years showing the surplus or deficit in each of the years, and indicating the use to which it was put (in the case of surplus) or the means of financing (in the case of deficit); vi. a summary statement of revenues and expenditures, using the main economic categories identified in Section 8(d) of the PFM Act of 2009, for the three years showing the projected surplus or deficit in each of the years, and indicating the </w:t>
            </w:r>
            <w:r w:rsidRPr="00B64E68">
              <w:rPr>
                <w:rFonts w:ascii="Times New Roman" w:eastAsia="Calibri" w:hAnsi="Times New Roman" w:cs="Times New Roman"/>
                <w:sz w:val="24"/>
                <w:szCs w:val="24"/>
              </w:rPr>
              <w:lastRenderedPageBreak/>
              <w:t xml:space="preserve">use to which it will be put (in the case of surplus) or the means of financing (in the case of deficit); vii. a summary statement of off‐budget donor funding showing name of project and program, funding agency, recipient Government Agency, disbursements effected in the previous financial year, projected disbursement in the following financial year; viii. a summary statement of the performance of State‐Owned Enterprises (SOE) and their annual financial plans for the following year showing revenues, expenditures, and changes in net worth; ix. a summary statement of the performance of public corporations and Special Funds showing incomes accruing to them including any donor funding, cash flow statement, outstanding debt if any that includes arrears to vendors and borrowing requirements for the following financial year; x. a summary statement of budgetary implications of new legislation on the proposed budget as well as the financial implication over the two outer years, consistent with the provisions of Section 19 of the PFM Act of 2009. </w:t>
            </w:r>
          </w:p>
          <w:p w14:paraId="44E29749"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3. The detailed annual budget estimates shall show the previous budget year outturns, the current year’s original budget, and the year‐to‐date outturn based on available data and projected outturns. </w:t>
            </w:r>
          </w:p>
          <w:p w14:paraId="43D2AD73" w14:textId="0778F43D"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4. The detailed estimates, including revenues and expenditures, will be structured according to the classifications specified in Section 8(d) of the PFM Act of 2009. 5. The detailed estimates will include overall and agency-level summaries by the various classifications utilized in the budget. To strengthen the link between national priorities in the national development plan and the budget, </w:t>
            </w:r>
            <w:r w:rsidR="00A634A1">
              <w:rPr>
                <w:rFonts w:ascii="Times New Roman" w:eastAsia="Calibri" w:hAnsi="Times New Roman" w:cs="Times New Roman"/>
                <w:sz w:val="24"/>
                <w:szCs w:val="24"/>
              </w:rPr>
              <w:t>the MTEF sets out two phases: strategic and operational</w:t>
            </w:r>
            <w:r w:rsidRPr="00B64E68">
              <w:rPr>
                <w:rFonts w:ascii="Times New Roman" w:eastAsia="Calibri" w:hAnsi="Times New Roman" w:cs="Times New Roman"/>
                <w:sz w:val="24"/>
                <w:szCs w:val="24"/>
              </w:rPr>
              <w:t xml:space="preserve">. The strategic phase reviews priorities and </w:t>
            </w:r>
            <w:r w:rsidRPr="00B64E68">
              <w:rPr>
                <w:rFonts w:ascii="Times New Roman" w:eastAsia="Calibri" w:hAnsi="Times New Roman" w:cs="Times New Roman"/>
                <w:sz w:val="24"/>
                <w:szCs w:val="24"/>
              </w:rPr>
              <w:lastRenderedPageBreak/>
              <w:t xml:space="preserve">strategies before detailed resource allocation. The operational phase of </w:t>
            </w:r>
            <w:r w:rsidR="00A634A1">
              <w:rPr>
                <w:rFonts w:ascii="Times New Roman" w:eastAsia="Calibri" w:hAnsi="Times New Roman" w:cs="Times New Roman"/>
                <w:sz w:val="24"/>
                <w:szCs w:val="24"/>
              </w:rPr>
              <w:t>budget preparation involves allocating resources to sectors and spending entities and concludes with the national legislature passing the national budget</w:t>
            </w:r>
            <w:r w:rsidRPr="00B64E68">
              <w:rPr>
                <w:rFonts w:ascii="Times New Roman" w:eastAsia="Calibri" w:hAnsi="Times New Roman" w:cs="Times New Roman"/>
                <w:sz w:val="24"/>
                <w:szCs w:val="24"/>
              </w:rPr>
              <w:t>.</w:t>
            </w:r>
          </w:p>
        </w:tc>
      </w:tr>
      <w:tr w:rsidR="00423D65" w:rsidRPr="00B64E68" w14:paraId="05302EAA" w14:textId="77777777" w:rsidTr="0057476A">
        <w:tc>
          <w:tcPr>
            <w:tcW w:w="4788" w:type="dxa"/>
          </w:tcPr>
          <w:p w14:paraId="4BA5FA4D" w14:textId="77777777" w:rsidR="00423D65" w:rsidRPr="00B64E68" w:rsidRDefault="00423D65" w:rsidP="0057476A">
            <w:pPr>
              <w:spacing w:after="80"/>
              <w:jc w:val="both"/>
              <w:rPr>
                <w:rFonts w:ascii="Times New Roman" w:eastAsia="Calibri" w:hAnsi="Times New Roman" w:cs="Times New Roman"/>
                <w:sz w:val="24"/>
                <w:szCs w:val="24"/>
              </w:rPr>
            </w:pPr>
          </w:p>
        </w:tc>
        <w:tc>
          <w:tcPr>
            <w:tcW w:w="4788" w:type="dxa"/>
          </w:tcPr>
          <w:p w14:paraId="39802C4C" w14:textId="77777777" w:rsidR="00423D65" w:rsidRPr="00B64E68" w:rsidRDefault="00423D65" w:rsidP="0057476A">
            <w:pPr>
              <w:spacing w:after="80"/>
              <w:jc w:val="both"/>
              <w:rPr>
                <w:rFonts w:ascii="Times New Roman" w:eastAsia="Calibri" w:hAnsi="Times New Roman" w:cs="Times New Roman"/>
                <w:sz w:val="24"/>
                <w:szCs w:val="24"/>
              </w:rPr>
            </w:pPr>
          </w:p>
        </w:tc>
      </w:tr>
      <w:tr w:rsidR="00423D65" w:rsidRPr="00B64E68" w14:paraId="03E2595B" w14:textId="77777777" w:rsidTr="0057476A">
        <w:tc>
          <w:tcPr>
            <w:tcW w:w="4788" w:type="dxa"/>
          </w:tcPr>
          <w:p w14:paraId="247AD513"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6.1 Social expenditures by extractive companies. a) Where material social expenditures by companies are mandated by law or the contract with the government that governs the extractive investment, implementing countries must disclose and, where possible, reconcile these transactions. Where such benefits are provided in-kind, it is required that implementing countries disclose the nature and the deemed value of the in-kind transaction. Where the beneficiary of the mandated social expenditure is a third party, i.e., not a government agency, it is required that the name and function of the beneficiary be disclosed. Where reconciliation is not feasible, countries should provide unilateral company and/or government disclosures of these transactions. b) Where the multi-stakeholder group agrees that discretionary social expenditures and transfers are material, the multi-stakeholder group is encouraged to develop a reporting process to achieve transparency commensurate with the disclosure of other payments and revenue streams to government entities. Where reconciliation of key transactions is impossible, e.g., company payments are in-kind, or to a non-governmental third party, the multi-stakeholder group may wish to agree on an approach for the voluntary unilateral company and/or government disclosures. </w:t>
            </w:r>
          </w:p>
          <w:p w14:paraId="174CFEE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6.2 Quasi-fiscal expenditures.  Where state participation in the extractive industries gives rise to material revenue payments, implementing countries must include disclosures from SOE(s) on their quasi-fiscal expenditures. Quasi-fiscal expenditures include arrangements whereby SOE(s) undertake public social expenditures such as payments for social services, public infrastructure, fuel subsidies, national debt servicing, etc., outside of the national budgetary process. The multi-stakeholder group must develop a reporting process to achieve transparency commensurate with other payments and revenue streams, including SOE subsidiaries and joint ventures.</w:t>
            </w:r>
          </w:p>
          <w:p w14:paraId="7FDC15A5"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6.3 The contribution of the extractive sector to the economy. Implementing countries must disclose, when available, information about the contribution of the extractive industries to the economy for the fiscal year covered by the EITI Report. It is required that this information includes the following:</w:t>
            </w:r>
          </w:p>
          <w:p w14:paraId="39375573" w14:textId="77777777" w:rsidR="00423D65" w:rsidRPr="00B64E68" w:rsidRDefault="00423D65" w:rsidP="0057476A">
            <w:pPr>
              <w:spacing w:after="80"/>
              <w:jc w:val="both"/>
              <w:rPr>
                <w:rFonts w:ascii="Times New Roman" w:eastAsia="Calibri" w:hAnsi="Times New Roman" w:cs="Times New Roman"/>
                <w:sz w:val="24"/>
                <w:szCs w:val="24"/>
              </w:rPr>
            </w:pPr>
          </w:p>
          <w:p w14:paraId="1AD5F605"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The size of the extractive industries in absolute terms and as a percentage of GDP and an estimate of informal sector activity, including but not necessarily limited to artisanal and small-scale mining. </w:t>
            </w:r>
          </w:p>
          <w:p w14:paraId="1D4BDE1B"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b) Total government revenues generated by the extractive industries (including taxes, royalties, bonuses, fees, and other payments) in absolute terms and as a percentage of total government revenues.</w:t>
            </w:r>
          </w:p>
          <w:p w14:paraId="029485C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c) Exports from the extractive industries in absolute terms and as a percentage of total exports. </w:t>
            </w:r>
          </w:p>
          <w:p w14:paraId="16DDFB11"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d) Employment in the extractive industries in absolute terms and as a percentage of the total </w:t>
            </w:r>
            <w:r w:rsidRPr="00B64E68">
              <w:rPr>
                <w:rFonts w:ascii="Times New Roman" w:eastAsia="Calibri" w:hAnsi="Times New Roman" w:cs="Times New Roman"/>
                <w:sz w:val="24"/>
                <w:szCs w:val="24"/>
              </w:rPr>
              <w:lastRenderedPageBreak/>
              <w:t>employment. e) Key regions/areas where production is concentrated.</w:t>
            </w:r>
          </w:p>
        </w:tc>
        <w:tc>
          <w:tcPr>
            <w:tcW w:w="4788" w:type="dxa"/>
          </w:tcPr>
          <w:p w14:paraId="5CF57CBD" w14:textId="77777777" w:rsidR="00423D65" w:rsidRPr="00B64E68" w:rsidRDefault="00423D65" w:rsidP="0057476A">
            <w:pPr>
              <w:spacing w:after="80"/>
              <w:jc w:val="both"/>
              <w:rPr>
                <w:rFonts w:ascii="Times New Roman" w:eastAsia="Calibri" w:hAnsi="Times New Roman" w:cs="Times New Roman"/>
                <w:sz w:val="24"/>
                <w:szCs w:val="24"/>
              </w:rPr>
            </w:pPr>
          </w:p>
          <w:p w14:paraId="50BF4D07" w14:textId="36204CAC"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The LEITI MSG agreed to include the mandatory and discretionary social and environmental expenditure in the scope through unilateral disclosure by extractive companies. Social and environmental expenditure are detailed in Section 7.2.2 of this report of the LEITI 1</w:t>
            </w:r>
            <w:r w:rsidR="00A634A1">
              <w:rPr>
                <w:rFonts w:ascii="Times New Roman" w:eastAsia="Calibri" w:hAnsi="Times New Roman" w:cs="Times New Roman"/>
                <w:sz w:val="24"/>
                <w:szCs w:val="24"/>
              </w:rPr>
              <w:t>6</w:t>
            </w:r>
            <w:r w:rsidRPr="00B64E68">
              <w:rPr>
                <w:rFonts w:ascii="Times New Roman" w:eastAsia="Calibri" w:hAnsi="Times New Roman" w:cs="Times New Roman"/>
                <w:sz w:val="24"/>
                <w:szCs w:val="24"/>
              </w:rPr>
              <w:t>th report.</w:t>
            </w:r>
          </w:p>
          <w:p w14:paraId="673B2DA8" w14:textId="1706CA55"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Reporting entities accounted for US$</w:t>
            </w:r>
            <w:r w:rsidR="00A634A1">
              <w:rPr>
                <w:rFonts w:ascii="Times New Roman" w:eastAsia="Calibri" w:hAnsi="Times New Roman" w:cs="Times New Roman"/>
                <w:sz w:val="24"/>
                <w:szCs w:val="24"/>
              </w:rPr>
              <w:t>24,213,324</w:t>
            </w:r>
            <w:r w:rsidRPr="00B64E68">
              <w:rPr>
                <w:rFonts w:ascii="Times New Roman" w:eastAsia="Calibri" w:hAnsi="Times New Roman" w:cs="Times New Roman"/>
                <w:sz w:val="24"/>
                <w:szCs w:val="24"/>
              </w:rPr>
              <w:t xml:space="preserve"> in social and environmental expenditure for FY 202</w:t>
            </w:r>
            <w:r w:rsidR="00A634A1">
              <w:rPr>
                <w:rFonts w:ascii="Times New Roman" w:eastAsia="Calibri" w:hAnsi="Times New Roman" w:cs="Times New Roman"/>
                <w:sz w:val="24"/>
                <w:szCs w:val="24"/>
              </w:rPr>
              <w:t>3</w:t>
            </w:r>
            <w:r w:rsidRPr="00B64E68">
              <w:rPr>
                <w:rFonts w:ascii="Times New Roman" w:eastAsia="Calibri" w:hAnsi="Times New Roman" w:cs="Times New Roman"/>
                <w:sz w:val="24"/>
                <w:szCs w:val="24"/>
              </w:rPr>
              <w:t xml:space="preserve">. Mandatory Social expenditure </w:t>
            </w:r>
            <w:r w:rsidR="00A634A1" w:rsidRPr="00B64E68">
              <w:rPr>
                <w:rFonts w:ascii="Times New Roman" w:eastAsia="Calibri" w:hAnsi="Times New Roman" w:cs="Times New Roman"/>
                <w:sz w:val="24"/>
                <w:szCs w:val="24"/>
              </w:rPr>
              <w:t>contributed</w:t>
            </w:r>
            <w:r w:rsidR="00356859">
              <w:rPr>
                <w:rFonts w:ascii="Times New Roman" w:eastAsia="Calibri" w:hAnsi="Times New Roman" w:cs="Times New Roman"/>
                <w:sz w:val="24"/>
                <w:szCs w:val="24"/>
              </w:rPr>
              <w:t xml:space="preserve"> </w:t>
            </w:r>
            <w:r w:rsidRPr="00B64E68">
              <w:rPr>
                <w:rFonts w:ascii="Times New Roman" w:eastAsia="Calibri" w:hAnsi="Times New Roman" w:cs="Times New Roman"/>
                <w:sz w:val="24"/>
                <w:szCs w:val="24"/>
              </w:rPr>
              <w:t>the total US$1</w:t>
            </w:r>
            <w:r w:rsidR="00356859">
              <w:rPr>
                <w:rFonts w:ascii="Times New Roman" w:eastAsia="Calibri" w:hAnsi="Times New Roman" w:cs="Times New Roman"/>
                <w:sz w:val="24"/>
                <w:szCs w:val="24"/>
              </w:rPr>
              <w:t>1,908,679.00</w:t>
            </w:r>
            <w:r w:rsidRPr="00B64E68">
              <w:rPr>
                <w:rFonts w:ascii="Times New Roman" w:eastAsia="Calibri" w:hAnsi="Times New Roman" w:cs="Times New Roman"/>
                <w:sz w:val="24"/>
                <w:szCs w:val="24"/>
              </w:rPr>
              <w:t xml:space="preserve"> for FY 202</w:t>
            </w:r>
            <w:r w:rsidR="00A634A1">
              <w:rPr>
                <w:rFonts w:ascii="Times New Roman" w:eastAsia="Calibri" w:hAnsi="Times New Roman" w:cs="Times New Roman"/>
                <w:sz w:val="24"/>
                <w:szCs w:val="24"/>
              </w:rPr>
              <w:t xml:space="preserve">3. </w:t>
            </w:r>
          </w:p>
          <w:p w14:paraId="6453724D" w14:textId="77777777" w:rsidR="00423D65" w:rsidRPr="00B64E68" w:rsidRDefault="00423D65" w:rsidP="0057476A">
            <w:pPr>
              <w:spacing w:after="80"/>
              <w:jc w:val="both"/>
              <w:rPr>
                <w:rFonts w:ascii="Times New Roman" w:eastAsia="Calibri" w:hAnsi="Times New Roman" w:cs="Times New Roman"/>
                <w:sz w:val="24"/>
                <w:szCs w:val="24"/>
              </w:rPr>
            </w:pPr>
          </w:p>
          <w:p w14:paraId="7054DFDE" w14:textId="77777777" w:rsidR="00423D65" w:rsidRPr="00B64E68" w:rsidRDefault="00423D65" w:rsidP="0057476A">
            <w:pPr>
              <w:spacing w:after="80"/>
              <w:jc w:val="both"/>
              <w:rPr>
                <w:rFonts w:ascii="Times New Roman" w:eastAsia="Calibri" w:hAnsi="Times New Roman" w:cs="Times New Roman"/>
                <w:sz w:val="24"/>
                <w:szCs w:val="24"/>
              </w:rPr>
            </w:pPr>
          </w:p>
          <w:p w14:paraId="031D3712"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w:t>
            </w:r>
          </w:p>
          <w:p w14:paraId="12D664EA" w14:textId="77777777" w:rsidR="00423D65" w:rsidRPr="00B64E68" w:rsidRDefault="00423D65" w:rsidP="0057476A">
            <w:pPr>
              <w:spacing w:after="80"/>
              <w:jc w:val="both"/>
              <w:rPr>
                <w:rFonts w:ascii="Times New Roman" w:eastAsia="Calibri" w:hAnsi="Times New Roman" w:cs="Times New Roman"/>
                <w:sz w:val="24"/>
                <w:szCs w:val="24"/>
              </w:rPr>
            </w:pPr>
          </w:p>
          <w:p w14:paraId="45EA2167" w14:textId="77777777" w:rsidR="00423D65" w:rsidRPr="00B64E68" w:rsidRDefault="00423D65" w:rsidP="0057476A">
            <w:pPr>
              <w:spacing w:after="80"/>
              <w:jc w:val="both"/>
              <w:rPr>
                <w:rFonts w:ascii="Times New Roman" w:eastAsia="Calibri" w:hAnsi="Times New Roman" w:cs="Times New Roman"/>
                <w:sz w:val="24"/>
                <w:szCs w:val="24"/>
              </w:rPr>
            </w:pPr>
          </w:p>
          <w:p w14:paraId="42104655" w14:textId="77777777" w:rsidR="00423D65" w:rsidRPr="00B64E68" w:rsidRDefault="00423D65" w:rsidP="0057476A">
            <w:pPr>
              <w:spacing w:after="80"/>
              <w:jc w:val="both"/>
              <w:rPr>
                <w:rFonts w:ascii="Times New Roman" w:eastAsia="Calibri" w:hAnsi="Times New Roman" w:cs="Times New Roman"/>
                <w:sz w:val="24"/>
                <w:szCs w:val="24"/>
              </w:rPr>
            </w:pPr>
          </w:p>
          <w:p w14:paraId="05670386" w14:textId="77777777" w:rsidR="00423D65" w:rsidRPr="00B64E68" w:rsidRDefault="00423D65" w:rsidP="0057476A">
            <w:pPr>
              <w:spacing w:after="80"/>
              <w:jc w:val="both"/>
              <w:rPr>
                <w:rFonts w:ascii="Times New Roman" w:eastAsia="Calibri" w:hAnsi="Times New Roman" w:cs="Times New Roman"/>
                <w:sz w:val="24"/>
                <w:szCs w:val="24"/>
              </w:rPr>
            </w:pPr>
          </w:p>
          <w:p w14:paraId="5BFEDA95" w14:textId="77777777" w:rsidR="00423D65" w:rsidRPr="00B64E68" w:rsidRDefault="00423D65" w:rsidP="0057476A">
            <w:pPr>
              <w:spacing w:after="80"/>
              <w:jc w:val="both"/>
              <w:rPr>
                <w:rFonts w:ascii="Times New Roman" w:eastAsia="Calibri" w:hAnsi="Times New Roman" w:cs="Times New Roman"/>
                <w:sz w:val="24"/>
                <w:szCs w:val="24"/>
              </w:rPr>
            </w:pPr>
          </w:p>
          <w:p w14:paraId="5B147B17" w14:textId="77777777" w:rsidR="00423D65" w:rsidRPr="00B64E68" w:rsidRDefault="00423D65" w:rsidP="0057476A">
            <w:pPr>
              <w:spacing w:after="80"/>
              <w:jc w:val="both"/>
              <w:rPr>
                <w:rFonts w:ascii="Times New Roman" w:eastAsia="Calibri" w:hAnsi="Times New Roman" w:cs="Times New Roman"/>
                <w:sz w:val="24"/>
                <w:szCs w:val="24"/>
              </w:rPr>
            </w:pPr>
          </w:p>
          <w:p w14:paraId="3BC30FF3" w14:textId="77777777" w:rsidR="00423D65" w:rsidRPr="00B64E68" w:rsidRDefault="00423D65" w:rsidP="0057476A">
            <w:pPr>
              <w:spacing w:after="80"/>
              <w:jc w:val="both"/>
              <w:rPr>
                <w:rFonts w:ascii="Times New Roman" w:eastAsia="Calibri" w:hAnsi="Times New Roman" w:cs="Times New Roman"/>
                <w:sz w:val="24"/>
                <w:szCs w:val="24"/>
              </w:rPr>
            </w:pPr>
          </w:p>
          <w:p w14:paraId="4547BB03" w14:textId="77777777" w:rsidR="00423D65" w:rsidRPr="00B64E68" w:rsidRDefault="00423D65" w:rsidP="0057476A">
            <w:pPr>
              <w:spacing w:after="80"/>
              <w:jc w:val="both"/>
              <w:rPr>
                <w:rFonts w:ascii="Times New Roman" w:eastAsia="Calibri" w:hAnsi="Times New Roman" w:cs="Times New Roman"/>
                <w:sz w:val="24"/>
                <w:szCs w:val="24"/>
              </w:rPr>
            </w:pPr>
          </w:p>
          <w:p w14:paraId="6BDE44D8" w14:textId="77777777" w:rsidR="00423D65" w:rsidRPr="00B64E68" w:rsidRDefault="00423D65" w:rsidP="0057476A">
            <w:pPr>
              <w:spacing w:after="80"/>
              <w:jc w:val="both"/>
              <w:rPr>
                <w:rFonts w:ascii="Times New Roman" w:eastAsia="Calibri" w:hAnsi="Times New Roman" w:cs="Times New Roman"/>
                <w:sz w:val="24"/>
                <w:szCs w:val="24"/>
              </w:rPr>
            </w:pPr>
          </w:p>
          <w:p w14:paraId="4903FBBE" w14:textId="77777777" w:rsidR="00423D65" w:rsidRPr="00B64E68" w:rsidRDefault="00423D65" w:rsidP="0057476A">
            <w:pPr>
              <w:spacing w:after="80"/>
              <w:jc w:val="both"/>
              <w:rPr>
                <w:rFonts w:ascii="Times New Roman" w:eastAsia="Calibri" w:hAnsi="Times New Roman" w:cs="Times New Roman"/>
                <w:sz w:val="24"/>
                <w:szCs w:val="24"/>
              </w:rPr>
            </w:pPr>
          </w:p>
          <w:p w14:paraId="38DD89CE" w14:textId="77777777" w:rsidR="00423D65" w:rsidRPr="00B64E68" w:rsidRDefault="00423D65" w:rsidP="0057476A">
            <w:pPr>
              <w:spacing w:after="80"/>
              <w:jc w:val="both"/>
              <w:rPr>
                <w:rFonts w:ascii="Times New Roman" w:eastAsia="Calibri" w:hAnsi="Times New Roman" w:cs="Times New Roman"/>
                <w:sz w:val="24"/>
                <w:szCs w:val="24"/>
              </w:rPr>
            </w:pPr>
          </w:p>
          <w:p w14:paraId="42B5A269" w14:textId="28E585FD" w:rsidR="00423D65" w:rsidRPr="00B64E68" w:rsidRDefault="00423D65" w:rsidP="006E1686">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No data on quasi-fiscal expenditures </w:t>
            </w:r>
            <w:r w:rsidR="006E1686">
              <w:rPr>
                <w:rFonts w:ascii="Times New Roman" w:eastAsia="Calibri" w:hAnsi="Times New Roman" w:cs="Times New Roman"/>
                <w:sz w:val="24"/>
                <w:szCs w:val="24"/>
              </w:rPr>
              <w:t>were</w:t>
            </w:r>
            <w:r w:rsidRPr="00B64E68">
              <w:rPr>
                <w:rFonts w:ascii="Times New Roman" w:eastAsia="Calibri" w:hAnsi="Times New Roman" w:cs="Times New Roman"/>
                <w:sz w:val="24"/>
                <w:szCs w:val="24"/>
              </w:rPr>
              <w:t xml:space="preserve"> captured in the 15</w:t>
            </w:r>
            <w:r w:rsidRPr="00B64E68">
              <w:rPr>
                <w:rFonts w:ascii="Times New Roman" w:eastAsia="Calibri" w:hAnsi="Times New Roman" w:cs="Times New Roman"/>
                <w:sz w:val="24"/>
                <w:szCs w:val="24"/>
                <w:vertAlign w:val="superscript"/>
              </w:rPr>
              <w:t xml:space="preserve">th </w:t>
            </w:r>
            <w:r w:rsidRPr="00B64E68">
              <w:rPr>
                <w:rFonts w:ascii="Times New Roman" w:eastAsia="Calibri" w:hAnsi="Times New Roman" w:cs="Times New Roman"/>
                <w:sz w:val="24"/>
                <w:szCs w:val="24"/>
              </w:rPr>
              <w:t>report covering 202</w:t>
            </w:r>
            <w:r w:rsidR="006E1686">
              <w:rPr>
                <w:rFonts w:ascii="Times New Roman" w:eastAsia="Calibri" w:hAnsi="Times New Roman" w:cs="Times New Roman"/>
                <w:sz w:val="24"/>
                <w:szCs w:val="24"/>
              </w:rPr>
              <w:t>3</w:t>
            </w:r>
            <w:r w:rsidRPr="00B64E68">
              <w:rPr>
                <w:rFonts w:ascii="Times New Roman" w:eastAsia="Calibri" w:hAnsi="Times New Roman" w:cs="Times New Roman"/>
                <w:sz w:val="24"/>
                <w:szCs w:val="24"/>
              </w:rPr>
              <w:t>. “The LEITI MSG has agreed that any public social expenditure</w:t>
            </w:r>
            <w:r w:rsidR="006E1686">
              <w:rPr>
                <w:rFonts w:ascii="Times New Roman" w:eastAsia="Calibri" w:hAnsi="Times New Roman" w:cs="Times New Roman"/>
                <w:sz w:val="24"/>
                <w:szCs w:val="24"/>
              </w:rPr>
              <w:t>, such as payments for social services, public infrastructure, fuel subsidies, and national debt servicing, etc., made by NOCAL, i.e., outside of the national budgetary process,</w:t>
            </w:r>
            <w:r w:rsidRPr="00B64E68">
              <w:rPr>
                <w:rFonts w:ascii="Times New Roman" w:eastAsia="Calibri" w:hAnsi="Times New Roman" w:cs="Times New Roman"/>
                <w:sz w:val="24"/>
                <w:szCs w:val="24"/>
              </w:rPr>
              <w:t xml:space="preserve"> is considered as QFE. NOCAL </w:t>
            </w:r>
            <w:r w:rsidR="006E1686">
              <w:rPr>
                <w:rFonts w:ascii="Times New Roman" w:eastAsia="Calibri" w:hAnsi="Times New Roman" w:cs="Times New Roman"/>
                <w:sz w:val="24"/>
                <w:szCs w:val="24"/>
              </w:rPr>
              <w:t>reported no QFEs</w:t>
            </w:r>
            <w:r w:rsidRPr="00B64E68">
              <w:rPr>
                <w:rFonts w:ascii="Times New Roman" w:eastAsia="Calibri" w:hAnsi="Times New Roman" w:cs="Times New Roman"/>
                <w:sz w:val="24"/>
                <w:szCs w:val="24"/>
              </w:rPr>
              <w:t xml:space="preserve"> during the period</w:t>
            </w:r>
            <w:r w:rsidR="006E1686">
              <w:rPr>
                <w:rFonts w:ascii="Times New Roman" w:eastAsia="Calibri" w:hAnsi="Times New Roman" w:cs="Times New Roman"/>
                <w:sz w:val="24"/>
                <w:szCs w:val="24"/>
              </w:rPr>
              <w:t>.</w:t>
            </w:r>
          </w:p>
          <w:p w14:paraId="4D246C3D" w14:textId="77777777" w:rsidR="00423D65" w:rsidRPr="00B64E68" w:rsidRDefault="00423D65" w:rsidP="0057476A">
            <w:pPr>
              <w:spacing w:after="80"/>
              <w:jc w:val="both"/>
              <w:rPr>
                <w:rFonts w:ascii="Times New Roman" w:eastAsia="Calibri" w:hAnsi="Times New Roman" w:cs="Times New Roman"/>
                <w:sz w:val="24"/>
                <w:szCs w:val="24"/>
              </w:rPr>
            </w:pPr>
          </w:p>
          <w:p w14:paraId="09592EB0" w14:textId="77777777" w:rsidR="00423D65" w:rsidRPr="00B64E68" w:rsidRDefault="00423D65" w:rsidP="0057476A">
            <w:pPr>
              <w:spacing w:after="80"/>
              <w:jc w:val="both"/>
              <w:rPr>
                <w:rFonts w:ascii="Times New Roman" w:eastAsia="Calibri" w:hAnsi="Times New Roman" w:cs="Times New Roman"/>
                <w:sz w:val="24"/>
                <w:szCs w:val="24"/>
              </w:rPr>
            </w:pPr>
          </w:p>
          <w:p w14:paraId="3D60D733" w14:textId="77777777" w:rsidR="00423D65" w:rsidRPr="00B64E68" w:rsidRDefault="00423D65" w:rsidP="0057476A">
            <w:pPr>
              <w:spacing w:after="80"/>
              <w:jc w:val="both"/>
              <w:rPr>
                <w:rFonts w:ascii="Times New Roman" w:eastAsia="Calibri" w:hAnsi="Times New Roman" w:cs="Times New Roman"/>
                <w:sz w:val="24"/>
                <w:szCs w:val="24"/>
              </w:rPr>
            </w:pPr>
          </w:p>
          <w:p w14:paraId="3372E9E0" w14:textId="77777777" w:rsidR="006E1686" w:rsidRDefault="006E1686" w:rsidP="0057476A">
            <w:pPr>
              <w:spacing w:after="80"/>
              <w:jc w:val="both"/>
              <w:rPr>
                <w:rFonts w:ascii="Times New Roman" w:eastAsia="Calibri" w:hAnsi="Times New Roman" w:cs="Times New Roman"/>
                <w:sz w:val="24"/>
                <w:szCs w:val="24"/>
              </w:rPr>
            </w:pPr>
          </w:p>
          <w:p w14:paraId="7054282F" w14:textId="77777777" w:rsidR="006E1686" w:rsidRDefault="006E1686" w:rsidP="0057476A">
            <w:pPr>
              <w:spacing w:after="80"/>
              <w:jc w:val="both"/>
              <w:rPr>
                <w:rFonts w:ascii="Times New Roman" w:eastAsia="Calibri" w:hAnsi="Times New Roman" w:cs="Times New Roman"/>
                <w:sz w:val="24"/>
                <w:szCs w:val="24"/>
              </w:rPr>
            </w:pPr>
          </w:p>
          <w:p w14:paraId="170FD75F" w14:textId="77777777" w:rsidR="006E1686" w:rsidRDefault="006E1686" w:rsidP="0057476A">
            <w:pPr>
              <w:spacing w:after="80"/>
              <w:jc w:val="both"/>
              <w:rPr>
                <w:rFonts w:ascii="Times New Roman" w:eastAsia="Calibri" w:hAnsi="Times New Roman" w:cs="Times New Roman"/>
                <w:sz w:val="24"/>
                <w:szCs w:val="24"/>
              </w:rPr>
            </w:pPr>
          </w:p>
          <w:p w14:paraId="433D3022" w14:textId="2C04F309" w:rsidR="00423D65" w:rsidRPr="00B64E68" w:rsidRDefault="00423D65" w:rsidP="0075266D">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During </w:t>
            </w:r>
            <w:r w:rsidR="0075266D">
              <w:rPr>
                <w:rFonts w:ascii="Times New Roman" w:eastAsia="Calibri" w:hAnsi="Times New Roman" w:cs="Times New Roman"/>
                <w:sz w:val="24"/>
                <w:szCs w:val="24"/>
              </w:rPr>
              <w:t>FY 2023, the extractive sector accounted for 55.66 percent of Liberia’s real GDP</w:t>
            </w:r>
            <w:r w:rsidRPr="00B64E68">
              <w:rPr>
                <w:rFonts w:ascii="Times New Roman" w:eastAsia="Calibri" w:hAnsi="Times New Roman" w:cs="Times New Roman"/>
                <w:sz w:val="24"/>
                <w:szCs w:val="24"/>
              </w:rPr>
              <w:t>.  The four sectors under the LEITI scope recorded a total of US$1</w:t>
            </w:r>
            <w:r w:rsidR="0075266D">
              <w:rPr>
                <w:rFonts w:ascii="Times New Roman" w:eastAsia="Calibri" w:hAnsi="Times New Roman" w:cs="Times New Roman"/>
                <w:sz w:val="24"/>
                <w:szCs w:val="24"/>
              </w:rPr>
              <w:t>5</w:t>
            </w:r>
            <w:r w:rsidRPr="00B64E68">
              <w:rPr>
                <w:rFonts w:ascii="Times New Roman" w:eastAsia="Calibri" w:hAnsi="Times New Roman" w:cs="Times New Roman"/>
                <w:sz w:val="24"/>
                <w:szCs w:val="24"/>
              </w:rPr>
              <w:t>2,</w:t>
            </w:r>
            <w:r w:rsidR="0075266D">
              <w:rPr>
                <w:rFonts w:ascii="Times New Roman" w:eastAsia="Calibri" w:hAnsi="Times New Roman" w:cs="Times New Roman"/>
                <w:sz w:val="24"/>
                <w:szCs w:val="24"/>
              </w:rPr>
              <w:t>460</w:t>
            </w:r>
            <w:r w:rsidRPr="00B64E68">
              <w:rPr>
                <w:rFonts w:ascii="Times New Roman" w:eastAsia="Calibri" w:hAnsi="Times New Roman" w:cs="Times New Roman"/>
                <w:sz w:val="24"/>
                <w:szCs w:val="24"/>
              </w:rPr>
              <w:t>,</w:t>
            </w:r>
            <w:r w:rsidR="0075266D">
              <w:rPr>
                <w:rFonts w:ascii="Times New Roman" w:eastAsia="Calibri" w:hAnsi="Times New Roman" w:cs="Times New Roman"/>
                <w:sz w:val="24"/>
                <w:szCs w:val="24"/>
              </w:rPr>
              <w:t>000.00</w:t>
            </w:r>
            <w:r w:rsidRPr="00B64E68">
              <w:rPr>
                <w:rFonts w:ascii="Times New Roman" w:eastAsia="Calibri" w:hAnsi="Times New Roman" w:cs="Times New Roman"/>
                <w:sz w:val="24"/>
                <w:szCs w:val="24"/>
              </w:rPr>
              <w:t xml:space="preserve"> in FY 202</w:t>
            </w:r>
            <w:r w:rsidR="0075266D">
              <w:rPr>
                <w:rFonts w:ascii="Times New Roman" w:eastAsia="Calibri" w:hAnsi="Times New Roman" w:cs="Times New Roman"/>
                <w:sz w:val="24"/>
                <w:szCs w:val="24"/>
              </w:rPr>
              <w:t>3</w:t>
            </w:r>
            <w:r w:rsidRPr="00B64E68">
              <w:rPr>
                <w:rFonts w:ascii="Times New Roman" w:eastAsia="Calibri" w:hAnsi="Times New Roman" w:cs="Times New Roman"/>
                <w:sz w:val="24"/>
                <w:szCs w:val="24"/>
              </w:rPr>
              <w:t>.</w:t>
            </w:r>
          </w:p>
          <w:p w14:paraId="60EBCFE3" w14:textId="43C6B8B8"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w:t>
            </w:r>
          </w:p>
          <w:p w14:paraId="51931CD8" w14:textId="77777777" w:rsidR="00423D65" w:rsidRPr="00B64E68" w:rsidRDefault="00423D65" w:rsidP="0057476A">
            <w:pPr>
              <w:spacing w:after="80"/>
              <w:jc w:val="both"/>
              <w:rPr>
                <w:rFonts w:ascii="Times New Roman" w:eastAsia="Calibri" w:hAnsi="Times New Roman" w:cs="Times New Roman"/>
                <w:sz w:val="24"/>
                <w:szCs w:val="24"/>
              </w:rPr>
            </w:pPr>
          </w:p>
          <w:p w14:paraId="13C65B18" w14:textId="77777777" w:rsidR="00423D65" w:rsidRPr="00B64E68" w:rsidRDefault="00423D65" w:rsidP="0057476A">
            <w:pPr>
              <w:spacing w:after="80"/>
              <w:jc w:val="both"/>
              <w:rPr>
                <w:rFonts w:ascii="Times New Roman" w:eastAsia="Calibri" w:hAnsi="Times New Roman" w:cs="Times New Roman"/>
                <w:sz w:val="24"/>
                <w:szCs w:val="24"/>
              </w:rPr>
            </w:pPr>
          </w:p>
          <w:p w14:paraId="3BA16C47" w14:textId="77777777" w:rsidR="00423D65" w:rsidRPr="00B64E68" w:rsidRDefault="00423D65" w:rsidP="0057476A">
            <w:pPr>
              <w:spacing w:after="80"/>
              <w:jc w:val="both"/>
              <w:rPr>
                <w:rFonts w:ascii="Times New Roman" w:eastAsia="Calibri" w:hAnsi="Times New Roman" w:cs="Times New Roman"/>
                <w:sz w:val="24"/>
                <w:szCs w:val="24"/>
              </w:rPr>
            </w:pPr>
          </w:p>
          <w:p w14:paraId="3AC3C15A" w14:textId="77777777" w:rsidR="00423D65" w:rsidRPr="00B64E68" w:rsidRDefault="00423D65" w:rsidP="0057476A">
            <w:pPr>
              <w:spacing w:after="80"/>
              <w:jc w:val="both"/>
              <w:rPr>
                <w:rFonts w:ascii="Times New Roman" w:eastAsia="Calibri" w:hAnsi="Times New Roman" w:cs="Times New Roman"/>
                <w:sz w:val="24"/>
                <w:szCs w:val="24"/>
              </w:rPr>
            </w:pPr>
          </w:p>
          <w:p w14:paraId="02DD6035" w14:textId="77777777" w:rsidR="00423D65" w:rsidRPr="00B64E68" w:rsidRDefault="00423D65" w:rsidP="0057476A">
            <w:pPr>
              <w:spacing w:after="80"/>
              <w:jc w:val="both"/>
              <w:rPr>
                <w:rFonts w:ascii="Times New Roman" w:eastAsia="Calibri" w:hAnsi="Times New Roman" w:cs="Times New Roman"/>
                <w:sz w:val="24"/>
                <w:szCs w:val="24"/>
              </w:rPr>
            </w:pPr>
          </w:p>
          <w:p w14:paraId="01C081D0" w14:textId="77777777" w:rsidR="00423D65" w:rsidRPr="00B64E68" w:rsidRDefault="00423D65" w:rsidP="0057476A">
            <w:pPr>
              <w:spacing w:after="80"/>
              <w:jc w:val="both"/>
              <w:rPr>
                <w:rFonts w:ascii="Times New Roman" w:eastAsia="Calibri" w:hAnsi="Times New Roman" w:cs="Times New Roman"/>
                <w:sz w:val="24"/>
                <w:szCs w:val="24"/>
              </w:rPr>
            </w:pPr>
          </w:p>
          <w:p w14:paraId="5140B0A7" w14:textId="77777777" w:rsidR="00423D65" w:rsidRPr="00B64E68" w:rsidRDefault="00423D65" w:rsidP="0057476A">
            <w:pPr>
              <w:spacing w:after="80"/>
              <w:jc w:val="both"/>
              <w:rPr>
                <w:rFonts w:ascii="Times New Roman" w:eastAsia="Calibri" w:hAnsi="Times New Roman" w:cs="Times New Roman"/>
                <w:sz w:val="24"/>
                <w:szCs w:val="24"/>
              </w:rPr>
            </w:pPr>
          </w:p>
          <w:p w14:paraId="39C5C7F6" w14:textId="77777777" w:rsidR="00423D65" w:rsidRPr="00B64E68" w:rsidRDefault="00423D65" w:rsidP="0057476A">
            <w:pPr>
              <w:spacing w:after="80"/>
              <w:jc w:val="both"/>
              <w:rPr>
                <w:rFonts w:ascii="Times New Roman" w:eastAsia="Calibri" w:hAnsi="Times New Roman" w:cs="Times New Roman"/>
                <w:sz w:val="24"/>
                <w:szCs w:val="24"/>
              </w:rPr>
            </w:pPr>
          </w:p>
          <w:p w14:paraId="7394FDA2" w14:textId="77777777" w:rsidR="00423D65" w:rsidRPr="00B64E68" w:rsidRDefault="00423D65" w:rsidP="0057476A">
            <w:pPr>
              <w:spacing w:after="80"/>
              <w:jc w:val="both"/>
              <w:rPr>
                <w:rFonts w:ascii="Times New Roman" w:eastAsia="Calibri" w:hAnsi="Times New Roman" w:cs="Times New Roman"/>
                <w:sz w:val="24"/>
                <w:szCs w:val="24"/>
              </w:rPr>
            </w:pPr>
          </w:p>
          <w:p w14:paraId="35D324D1" w14:textId="77777777" w:rsidR="00423D65" w:rsidRPr="00B64E68" w:rsidRDefault="00423D65" w:rsidP="0057476A">
            <w:pPr>
              <w:spacing w:after="80"/>
              <w:jc w:val="both"/>
              <w:rPr>
                <w:rFonts w:ascii="Times New Roman" w:eastAsia="Calibri" w:hAnsi="Times New Roman" w:cs="Times New Roman"/>
                <w:sz w:val="24"/>
                <w:szCs w:val="24"/>
              </w:rPr>
            </w:pPr>
          </w:p>
          <w:p w14:paraId="00382E3C" w14:textId="77777777" w:rsidR="00423D65" w:rsidRPr="00B64E68" w:rsidRDefault="00423D65" w:rsidP="0057476A">
            <w:pPr>
              <w:spacing w:after="80"/>
              <w:jc w:val="both"/>
              <w:rPr>
                <w:rFonts w:ascii="Times New Roman" w:eastAsia="Calibri" w:hAnsi="Times New Roman" w:cs="Times New Roman"/>
                <w:sz w:val="24"/>
                <w:szCs w:val="24"/>
              </w:rPr>
            </w:pPr>
          </w:p>
          <w:p w14:paraId="06527224" w14:textId="77777777" w:rsidR="00423D65" w:rsidRPr="00B64E68" w:rsidRDefault="00423D65" w:rsidP="0057476A">
            <w:pPr>
              <w:spacing w:after="80"/>
              <w:jc w:val="both"/>
              <w:rPr>
                <w:rFonts w:ascii="Times New Roman" w:eastAsia="Calibri" w:hAnsi="Times New Roman" w:cs="Times New Roman"/>
                <w:sz w:val="24"/>
                <w:szCs w:val="24"/>
              </w:rPr>
            </w:pPr>
          </w:p>
          <w:p w14:paraId="13ED7A26" w14:textId="77777777" w:rsidR="00423D65" w:rsidRDefault="00423D65" w:rsidP="0057476A">
            <w:pPr>
              <w:spacing w:after="80"/>
              <w:jc w:val="both"/>
              <w:rPr>
                <w:rFonts w:ascii="Times New Roman" w:eastAsia="Calibri" w:hAnsi="Times New Roman" w:cs="Times New Roman"/>
                <w:sz w:val="24"/>
                <w:szCs w:val="24"/>
              </w:rPr>
            </w:pPr>
          </w:p>
          <w:p w14:paraId="2A569650" w14:textId="77777777" w:rsidR="00B7365A" w:rsidRDefault="00B7365A" w:rsidP="0057476A">
            <w:pPr>
              <w:spacing w:after="80"/>
              <w:jc w:val="both"/>
              <w:rPr>
                <w:rFonts w:ascii="Times New Roman" w:eastAsia="Calibri" w:hAnsi="Times New Roman" w:cs="Times New Roman"/>
                <w:sz w:val="24"/>
                <w:szCs w:val="24"/>
              </w:rPr>
            </w:pPr>
          </w:p>
          <w:p w14:paraId="352950D2" w14:textId="77777777" w:rsidR="00B7365A" w:rsidRDefault="00B7365A" w:rsidP="0057476A">
            <w:pPr>
              <w:spacing w:after="80"/>
              <w:jc w:val="both"/>
              <w:rPr>
                <w:rFonts w:ascii="Times New Roman" w:eastAsia="Calibri" w:hAnsi="Times New Roman" w:cs="Times New Roman"/>
                <w:sz w:val="24"/>
                <w:szCs w:val="24"/>
              </w:rPr>
            </w:pPr>
          </w:p>
          <w:p w14:paraId="779E8E49" w14:textId="77777777" w:rsidR="00B7365A" w:rsidRDefault="00B7365A" w:rsidP="0057476A">
            <w:pPr>
              <w:spacing w:after="80"/>
              <w:jc w:val="both"/>
              <w:rPr>
                <w:rFonts w:ascii="Times New Roman" w:eastAsia="Calibri" w:hAnsi="Times New Roman" w:cs="Times New Roman"/>
                <w:sz w:val="24"/>
                <w:szCs w:val="24"/>
              </w:rPr>
            </w:pPr>
          </w:p>
          <w:p w14:paraId="23F1875A" w14:textId="77777777" w:rsidR="00B7365A" w:rsidRPr="00B64E68" w:rsidRDefault="00B7365A" w:rsidP="0057476A">
            <w:pPr>
              <w:spacing w:after="80"/>
              <w:jc w:val="both"/>
              <w:rPr>
                <w:rFonts w:ascii="Times New Roman" w:eastAsia="Calibri" w:hAnsi="Times New Roman" w:cs="Times New Roman"/>
                <w:sz w:val="24"/>
                <w:szCs w:val="24"/>
              </w:rPr>
            </w:pPr>
          </w:p>
        </w:tc>
      </w:tr>
      <w:tr w:rsidR="00423D65" w:rsidRPr="00B64E68" w14:paraId="4AF4FA5A" w14:textId="77777777" w:rsidTr="0057476A">
        <w:tc>
          <w:tcPr>
            <w:tcW w:w="4788" w:type="dxa"/>
          </w:tcPr>
          <w:p w14:paraId="1D8ABA8F"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 xml:space="preserve">7.1 Public debate. </w:t>
            </w:r>
          </w:p>
          <w:p w14:paraId="6E23CE82"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The multi-stakeholder group must ensure that the EITI Report is comprehensible, actively promoted, publicly accessible, and contributes to public debate. Key audiences should include government, parliamentarians, civil society, companies, and the media. The multi-stakeholder group must: a) Produce paper copies of the EITI Report and ensure that they are widely distributed. The report contains extensive data, e.g., voluminous files, so the multi-stakeholder group is encouraged to make this available online. b) Agree on a clear policy on accessing, releasing, and re-using EITI data. Implementing countries are encouraged to publish EITI under an open license and inform users that information can be reused without prior consent. c) Make the EITI Report available online in an open data format (xlsx or </w:t>
            </w:r>
            <w:r>
              <w:rPr>
                <w:rFonts w:ascii="Times New Roman" w:eastAsia="Calibri" w:hAnsi="Times New Roman" w:cs="Times New Roman"/>
                <w:sz w:val="24"/>
                <w:szCs w:val="24"/>
              </w:rPr>
              <w:t>CSV</w:t>
            </w:r>
            <w:r w:rsidRPr="00B64E68">
              <w:rPr>
                <w:rFonts w:ascii="Times New Roman" w:eastAsia="Calibri" w:hAnsi="Times New Roman" w:cs="Times New Roman"/>
                <w:sz w:val="24"/>
                <w:szCs w:val="24"/>
              </w:rPr>
              <w:t>) and publicize its availability. d) Ensure that the EITI Report is comprehensible, including writing in a clear, accessible style and inappropriate language.</w:t>
            </w:r>
          </w:p>
          <w:p w14:paraId="6EB64F84"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 Ensure that outreach events are organized by the government, civil society, or companies to spread awareness of and facilitate dialogue about the EITI Report across the country.</w:t>
            </w:r>
          </w:p>
          <w:p w14:paraId="63156DF7"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7.2 Data accessibility. The multi-stakeholder group is encouraged to make EITI Reports machine-readable and code or tag EITI Reports and data files to compare the information with other publicly available data by adopting Board-approved EITI data standards. As per Requirement 5.1(b), the </w:t>
            </w:r>
            <w:r w:rsidRPr="00B64E68">
              <w:rPr>
                <w:rFonts w:ascii="Times New Roman" w:eastAsia="Calibri" w:hAnsi="Times New Roman" w:cs="Times New Roman"/>
                <w:sz w:val="24"/>
                <w:szCs w:val="24"/>
              </w:rPr>
              <w:lastRenderedPageBreak/>
              <w:t>multi-stakeholder group is encouraged to reference national revenue classification systems and international standards such as the IMF Government Finance Statistics Manual. The multi-stakeholder group is encouraged to a) Produce summary reports with clear and balanced analysis of the information, ensuring that the authorship of different elements of the EITI Report is clearly stated. b) Summarize and compare the share of each revenue stream to the total amount of revenue that accrues to each respective level of government. c) Where legally and technically feasible, continuously consider automated online disclosure of extractive revenues and payments by governments and companies. This may include cases where extractive revenue data is already published regularly by the government or where national taxation systems are trending towards online tax assessments and payments. Such continuous government reporting could be considered interim reporting and an integral feature of the national EITI process, captured by the annual reconciled EITI Report. d) Undertake capacity-building efforts, especially with civil society and through civil society organizations, to increase awareness of the process, improve understanding of the information and data from the reports, and encourage the use of the information by citizens, the media, and others.</w:t>
            </w:r>
          </w:p>
          <w:p w14:paraId="4828960A"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7.3 Discrepancies and </w:t>
            </w:r>
            <w:r>
              <w:rPr>
                <w:rFonts w:ascii="Times New Roman" w:eastAsia="Calibri" w:hAnsi="Times New Roman" w:cs="Times New Roman"/>
                <w:sz w:val="24"/>
                <w:szCs w:val="24"/>
              </w:rPr>
              <w:t>Recommendations</w:t>
            </w:r>
            <w:r w:rsidRPr="00B64E68">
              <w:rPr>
                <w:rFonts w:ascii="Times New Roman" w:eastAsia="Calibri" w:hAnsi="Times New Roman" w:cs="Times New Roman"/>
                <w:sz w:val="24"/>
                <w:szCs w:val="24"/>
              </w:rPr>
              <w:t xml:space="preserve"> from EITI Reports. To strengthen the impact of EITI implementation on natural resource governance, as per Requirement 7.4, the multi-stakeholder group is required to take steps to act upon lessons learned; to identify, investigate</w:t>
            </w:r>
            <w:r>
              <w:rPr>
                <w:rFonts w:ascii="Times New Roman" w:eastAsia="Calibri" w:hAnsi="Times New Roman" w:cs="Times New Roman"/>
                <w:sz w:val="24"/>
                <w:szCs w:val="24"/>
              </w:rPr>
              <w:t>,</w:t>
            </w:r>
            <w:r w:rsidRPr="00B64E68">
              <w:rPr>
                <w:rFonts w:ascii="Times New Roman" w:eastAsia="Calibri" w:hAnsi="Times New Roman" w:cs="Times New Roman"/>
                <w:sz w:val="24"/>
                <w:szCs w:val="24"/>
              </w:rPr>
              <w:t xml:space="preserve"> and address the causes of any discrepancies; and to consider the </w:t>
            </w:r>
            <w:r w:rsidRPr="00B64E68">
              <w:rPr>
                <w:rFonts w:ascii="Times New Roman" w:eastAsia="Calibri" w:hAnsi="Times New Roman" w:cs="Times New Roman"/>
                <w:sz w:val="24"/>
                <w:szCs w:val="24"/>
              </w:rPr>
              <w:lastRenderedPageBreak/>
              <w:t xml:space="preserve">recommendations resulting from EITI reporting. </w:t>
            </w:r>
          </w:p>
          <w:p w14:paraId="5810DA65"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7.4 Review the outcomes and impact of EITI implementation. The multi-stakeholder group is required to review the outcomes and impact of EITI implementation on natural resource governance.</w:t>
            </w:r>
          </w:p>
          <w:p w14:paraId="19972996"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 The multi-stakeholder group is required to publish annual progress reports.5 The annual progress reports must include </w:t>
            </w:r>
            <w:proofErr w:type="spellStart"/>
            <w:r w:rsidRPr="00B64E68">
              <w:rPr>
                <w:rFonts w:ascii="Times New Roman" w:eastAsia="Calibri" w:hAnsi="Times New Roman" w:cs="Times New Roman"/>
                <w:sz w:val="24"/>
                <w:szCs w:val="24"/>
              </w:rPr>
              <w:t>i</w:t>
            </w:r>
            <w:proofErr w:type="spellEnd"/>
            <w:r w:rsidRPr="00B64E68">
              <w:rPr>
                <w:rFonts w:ascii="Times New Roman" w:eastAsia="Calibri" w:hAnsi="Times New Roman" w:cs="Times New Roman"/>
                <w:sz w:val="24"/>
                <w:szCs w:val="24"/>
              </w:rPr>
              <w:t>. A summary of EITI activities undertaken in the previous year.</w:t>
            </w:r>
          </w:p>
        </w:tc>
        <w:tc>
          <w:tcPr>
            <w:tcW w:w="4788" w:type="dxa"/>
          </w:tcPr>
          <w:p w14:paraId="78027D86" w14:textId="7E08E4A9"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lastRenderedPageBreak/>
              <w:t>The reviewed period also witnessed the release of LEITI’s open data policy with the following thrusts:</w:t>
            </w:r>
          </w:p>
          <w:p w14:paraId="129668D5"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EITI Reports on Liberia will be understandable, actively promoted, and publicly accessible, contributing to public debate and publishing in paper copies. Summary copies will be developed along with visual aids and distributed nationwide. Soft copies of both full and summary reports will be published online;</w:t>
            </w:r>
          </w:p>
          <w:p w14:paraId="2F405D44"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 All extractives and related data will be published under open license online (www.leiti.org.lr) and on websites of other relevant government ministries and agencies;</w:t>
            </w:r>
          </w:p>
          <w:p w14:paraId="5346C1C9"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Extractives and related data will be released in granular, machine-readable format online and in a format as specified by EITI Requirement 7.1c (xlsx or CSV).</w:t>
            </w:r>
          </w:p>
          <w:p w14:paraId="5C850BD1"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LEITI will undertake nationwide and periodic dissemination of EITI reports on Liberia;</w:t>
            </w:r>
          </w:p>
          <w:p w14:paraId="77233BEC"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EITI reports on Liberia will be produced in not more than 18 months following the expiration of any fiscal year;</w:t>
            </w:r>
          </w:p>
          <w:p w14:paraId="1DBEB543"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Over the medium term, LEITI’s online data portal will be made interoperable;</w:t>
            </w:r>
          </w:p>
          <w:p w14:paraId="383C8DCD"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LEITI will ensure citizens' continuous awareness and capacity building on open data availability, accessibility, and reusability. The focus will be on youth groups, women groups, local </w:t>
            </w:r>
            <w:r w:rsidRPr="00B64E68">
              <w:rPr>
                <w:rFonts w:ascii="Times New Roman" w:eastAsia="Calibri" w:hAnsi="Times New Roman" w:cs="Times New Roman"/>
                <w:sz w:val="24"/>
                <w:szCs w:val="24"/>
              </w:rPr>
              <w:lastRenderedPageBreak/>
              <w:t>authorities, parliamentarians, media, marginalized and minority groups, etc.</w:t>
            </w:r>
          </w:p>
          <w:p w14:paraId="0618CFBC" w14:textId="77777777" w:rsidR="00423D65" w:rsidRPr="00B64E68" w:rsidRDefault="00423D65" w:rsidP="0057476A">
            <w:pPr>
              <w:numPr>
                <w:ilvl w:val="0"/>
                <w:numId w:val="2"/>
              </w:numPr>
              <w:spacing w:after="160" w:line="259" w:lineRule="auto"/>
              <w:contextualSpacing/>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LEITI will strive to establish a register of beneficial owners of the companies operating in the extractive sector of Liberia on an annual basis. </w:t>
            </w:r>
          </w:p>
          <w:p w14:paraId="00E6261C" w14:textId="77777777" w:rsidR="00423D65" w:rsidRPr="00B64E68" w:rsidRDefault="00423D65" w:rsidP="0057476A">
            <w:pPr>
              <w:spacing w:after="80"/>
              <w:jc w:val="both"/>
              <w:rPr>
                <w:rFonts w:ascii="Times New Roman" w:eastAsia="Calibri" w:hAnsi="Times New Roman" w:cs="Times New Roman"/>
                <w:sz w:val="24"/>
                <w:szCs w:val="24"/>
              </w:rPr>
            </w:pPr>
          </w:p>
          <w:p w14:paraId="1850A63D" w14:textId="77777777" w:rsidR="00423D65" w:rsidRPr="00B64E68" w:rsidRDefault="00423D65" w:rsidP="0057476A">
            <w:pPr>
              <w:spacing w:after="80"/>
              <w:jc w:val="both"/>
              <w:rPr>
                <w:rFonts w:ascii="Times New Roman" w:eastAsia="Calibri" w:hAnsi="Times New Roman" w:cs="Times New Roman"/>
                <w:sz w:val="24"/>
                <w:szCs w:val="24"/>
              </w:rPr>
            </w:pPr>
          </w:p>
          <w:p w14:paraId="69063020" w14:textId="77777777" w:rsidR="00423D65" w:rsidRPr="00B64E68" w:rsidRDefault="00423D65" w:rsidP="0057476A">
            <w:pPr>
              <w:spacing w:after="80"/>
              <w:jc w:val="both"/>
              <w:rPr>
                <w:rFonts w:ascii="Times New Roman" w:eastAsia="Calibri" w:hAnsi="Times New Roman" w:cs="Times New Roman"/>
                <w:sz w:val="24"/>
                <w:szCs w:val="24"/>
              </w:rPr>
            </w:pPr>
          </w:p>
          <w:p w14:paraId="2D712949" w14:textId="77777777" w:rsidR="00423D65" w:rsidRPr="00B64E68" w:rsidRDefault="00423D65" w:rsidP="0057476A">
            <w:pPr>
              <w:spacing w:after="80"/>
              <w:jc w:val="both"/>
              <w:rPr>
                <w:rFonts w:ascii="Times New Roman" w:eastAsia="Calibri" w:hAnsi="Times New Roman" w:cs="Times New Roman"/>
                <w:sz w:val="24"/>
                <w:szCs w:val="24"/>
              </w:rPr>
            </w:pPr>
          </w:p>
          <w:p w14:paraId="694995A8" w14:textId="77777777" w:rsidR="00423D65" w:rsidRPr="00B64E68" w:rsidRDefault="00423D65" w:rsidP="0057476A">
            <w:pPr>
              <w:spacing w:after="80"/>
              <w:jc w:val="both"/>
              <w:rPr>
                <w:rFonts w:ascii="Times New Roman" w:eastAsia="Calibri" w:hAnsi="Times New Roman" w:cs="Times New Roman"/>
                <w:sz w:val="24"/>
                <w:szCs w:val="24"/>
              </w:rPr>
            </w:pPr>
          </w:p>
          <w:p w14:paraId="46FF3A74" w14:textId="77777777" w:rsidR="00423D65" w:rsidRPr="00B64E68" w:rsidRDefault="00423D65" w:rsidP="0057476A">
            <w:pPr>
              <w:spacing w:after="80"/>
              <w:jc w:val="both"/>
              <w:rPr>
                <w:rFonts w:ascii="Times New Roman" w:eastAsia="Calibri" w:hAnsi="Times New Roman" w:cs="Times New Roman"/>
                <w:sz w:val="24"/>
                <w:szCs w:val="24"/>
              </w:rPr>
            </w:pPr>
          </w:p>
          <w:p w14:paraId="4872479C" w14:textId="77777777" w:rsidR="00423D65" w:rsidRPr="00B64E68" w:rsidRDefault="00423D65" w:rsidP="0057476A">
            <w:pPr>
              <w:spacing w:after="80"/>
              <w:jc w:val="both"/>
              <w:rPr>
                <w:rFonts w:ascii="Times New Roman" w:eastAsia="Calibri" w:hAnsi="Times New Roman" w:cs="Times New Roman"/>
                <w:sz w:val="24"/>
                <w:szCs w:val="24"/>
              </w:rPr>
            </w:pPr>
          </w:p>
          <w:p w14:paraId="633212D9" w14:textId="77777777" w:rsidR="00423D65" w:rsidRPr="00B64E68" w:rsidRDefault="00423D65" w:rsidP="0057476A">
            <w:pPr>
              <w:spacing w:after="80"/>
              <w:jc w:val="both"/>
              <w:rPr>
                <w:rFonts w:ascii="Times New Roman" w:eastAsia="Calibri" w:hAnsi="Times New Roman" w:cs="Times New Roman"/>
                <w:sz w:val="24"/>
                <w:szCs w:val="24"/>
              </w:rPr>
            </w:pPr>
          </w:p>
          <w:p w14:paraId="1309ED3F" w14:textId="77777777" w:rsidR="00423D65" w:rsidRPr="00B64E68" w:rsidRDefault="00423D65" w:rsidP="0057476A">
            <w:pPr>
              <w:spacing w:after="80"/>
              <w:jc w:val="both"/>
              <w:rPr>
                <w:rFonts w:ascii="Times New Roman" w:eastAsia="Calibri" w:hAnsi="Times New Roman" w:cs="Times New Roman"/>
                <w:sz w:val="24"/>
                <w:szCs w:val="24"/>
              </w:rPr>
            </w:pPr>
          </w:p>
          <w:p w14:paraId="7EDF3844" w14:textId="77777777" w:rsidR="00423D65" w:rsidRPr="00B64E68" w:rsidRDefault="00423D65" w:rsidP="0057476A">
            <w:pPr>
              <w:spacing w:after="80"/>
              <w:jc w:val="both"/>
              <w:rPr>
                <w:rFonts w:ascii="Times New Roman" w:eastAsia="Calibri" w:hAnsi="Times New Roman" w:cs="Times New Roman"/>
                <w:sz w:val="24"/>
                <w:szCs w:val="24"/>
              </w:rPr>
            </w:pPr>
          </w:p>
          <w:p w14:paraId="547E7340" w14:textId="77777777" w:rsidR="00423D65" w:rsidRPr="00B64E68" w:rsidRDefault="00423D65" w:rsidP="0057476A">
            <w:pPr>
              <w:spacing w:after="80"/>
              <w:jc w:val="both"/>
              <w:rPr>
                <w:rFonts w:ascii="Times New Roman" w:eastAsia="Calibri" w:hAnsi="Times New Roman" w:cs="Times New Roman"/>
                <w:sz w:val="24"/>
                <w:szCs w:val="24"/>
              </w:rPr>
            </w:pPr>
          </w:p>
          <w:p w14:paraId="1218437B" w14:textId="77777777" w:rsidR="00423D65" w:rsidRPr="00B64E68" w:rsidRDefault="00423D65" w:rsidP="0057476A">
            <w:pPr>
              <w:spacing w:after="80"/>
              <w:jc w:val="both"/>
              <w:rPr>
                <w:rFonts w:ascii="Times New Roman" w:eastAsia="Calibri" w:hAnsi="Times New Roman" w:cs="Times New Roman"/>
                <w:sz w:val="24"/>
                <w:szCs w:val="24"/>
              </w:rPr>
            </w:pPr>
          </w:p>
          <w:p w14:paraId="47E1885F" w14:textId="77777777" w:rsidR="00423D65" w:rsidRPr="00B64E68" w:rsidRDefault="00423D65" w:rsidP="0057476A">
            <w:pPr>
              <w:spacing w:after="80"/>
              <w:jc w:val="both"/>
              <w:rPr>
                <w:rFonts w:ascii="Times New Roman" w:eastAsia="Calibri" w:hAnsi="Times New Roman" w:cs="Times New Roman"/>
                <w:sz w:val="24"/>
                <w:szCs w:val="24"/>
              </w:rPr>
            </w:pPr>
          </w:p>
          <w:p w14:paraId="32397150" w14:textId="77777777" w:rsidR="00423D65" w:rsidRPr="00B64E68" w:rsidRDefault="00423D65" w:rsidP="0057476A">
            <w:pPr>
              <w:spacing w:after="80"/>
              <w:jc w:val="both"/>
              <w:rPr>
                <w:rFonts w:ascii="Times New Roman" w:eastAsia="Calibri" w:hAnsi="Times New Roman" w:cs="Times New Roman"/>
                <w:sz w:val="24"/>
                <w:szCs w:val="24"/>
              </w:rPr>
            </w:pPr>
          </w:p>
          <w:p w14:paraId="60BCEADE" w14:textId="77777777" w:rsidR="00423D65" w:rsidRPr="00B64E68" w:rsidRDefault="00423D65" w:rsidP="0057476A">
            <w:pPr>
              <w:spacing w:after="80"/>
              <w:jc w:val="both"/>
              <w:rPr>
                <w:rFonts w:ascii="Times New Roman" w:eastAsia="Calibri" w:hAnsi="Times New Roman" w:cs="Times New Roman"/>
                <w:sz w:val="24"/>
                <w:szCs w:val="24"/>
              </w:rPr>
            </w:pPr>
          </w:p>
          <w:p w14:paraId="4A8B3A90" w14:textId="77777777" w:rsidR="00423D65" w:rsidRPr="00B64E68" w:rsidRDefault="00423D65" w:rsidP="0057476A">
            <w:pPr>
              <w:spacing w:after="80"/>
              <w:jc w:val="both"/>
              <w:rPr>
                <w:rFonts w:ascii="Times New Roman" w:eastAsia="Calibri" w:hAnsi="Times New Roman" w:cs="Times New Roman"/>
                <w:sz w:val="24"/>
                <w:szCs w:val="24"/>
              </w:rPr>
            </w:pPr>
          </w:p>
          <w:p w14:paraId="5A528013" w14:textId="77777777" w:rsidR="00423D65" w:rsidRPr="00B64E68" w:rsidRDefault="00423D65" w:rsidP="0057476A">
            <w:pPr>
              <w:spacing w:after="80"/>
              <w:jc w:val="both"/>
              <w:rPr>
                <w:rFonts w:ascii="Times New Roman" w:eastAsia="Calibri" w:hAnsi="Times New Roman" w:cs="Times New Roman"/>
                <w:sz w:val="24"/>
                <w:szCs w:val="24"/>
              </w:rPr>
            </w:pPr>
          </w:p>
          <w:p w14:paraId="2A0849F9" w14:textId="77777777" w:rsidR="00423D65" w:rsidRPr="00B64E68" w:rsidRDefault="00423D65" w:rsidP="0057476A">
            <w:pPr>
              <w:spacing w:after="80"/>
              <w:jc w:val="both"/>
              <w:rPr>
                <w:rFonts w:ascii="Times New Roman" w:eastAsia="Calibri" w:hAnsi="Times New Roman" w:cs="Times New Roman"/>
                <w:sz w:val="24"/>
                <w:szCs w:val="24"/>
              </w:rPr>
            </w:pPr>
          </w:p>
          <w:p w14:paraId="1B0A8C9B" w14:textId="77777777" w:rsidR="00423D65" w:rsidRPr="00B64E68" w:rsidRDefault="00423D65" w:rsidP="0057476A">
            <w:pPr>
              <w:spacing w:after="80"/>
              <w:jc w:val="both"/>
              <w:rPr>
                <w:rFonts w:ascii="Times New Roman" w:eastAsia="Calibri" w:hAnsi="Times New Roman" w:cs="Times New Roman"/>
                <w:sz w:val="24"/>
                <w:szCs w:val="24"/>
              </w:rPr>
            </w:pPr>
          </w:p>
          <w:p w14:paraId="7EC0E428"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Please reference Liberia’s validation template on MSG oversight for 7.3</w:t>
            </w:r>
          </w:p>
          <w:p w14:paraId="48FDC82B" w14:textId="77777777" w:rsidR="00423D65" w:rsidRPr="00B64E68" w:rsidRDefault="00423D65" w:rsidP="0057476A">
            <w:pPr>
              <w:spacing w:after="80"/>
              <w:jc w:val="both"/>
              <w:rPr>
                <w:rFonts w:ascii="Times New Roman" w:eastAsia="Calibri" w:hAnsi="Times New Roman" w:cs="Times New Roman"/>
                <w:sz w:val="24"/>
                <w:szCs w:val="24"/>
              </w:rPr>
            </w:pPr>
            <w:r w:rsidRPr="00B64E68">
              <w:rPr>
                <w:rFonts w:ascii="Times New Roman" w:eastAsia="Calibri" w:hAnsi="Times New Roman" w:cs="Times New Roman"/>
                <w:sz w:val="24"/>
                <w:szCs w:val="24"/>
              </w:rPr>
              <w:t xml:space="preserve">Annual Progress Reports are an integral part of the MSG operation. All APRs are produced, reviewed, </w:t>
            </w:r>
            <w:r>
              <w:rPr>
                <w:rFonts w:ascii="Times New Roman" w:eastAsia="Calibri" w:hAnsi="Times New Roman" w:cs="Times New Roman"/>
                <w:sz w:val="24"/>
                <w:szCs w:val="24"/>
              </w:rPr>
              <w:t>endorsed,</w:t>
            </w:r>
            <w:r w:rsidRPr="00B64E68">
              <w:rPr>
                <w:rFonts w:ascii="Times New Roman" w:eastAsia="Calibri" w:hAnsi="Times New Roman" w:cs="Times New Roman"/>
                <w:sz w:val="24"/>
                <w:szCs w:val="24"/>
              </w:rPr>
              <w:t xml:space="preserve"> and uploaded to the LEITI website: </w:t>
            </w:r>
            <w:hyperlink r:id="rId57" w:history="1">
              <w:r w:rsidRPr="00B64E68">
                <w:rPr>
                  <w:rStyle w:val="Hyperlink"/>
                  <w:rFonts w:ascii="Times New Roman" w:eastAsia="Calibri" w:hAnsi="Times New Roman" w:cs="Times New Roman"/>
                  <w:sz w:val="24"/>
                  <w:szCs w:val="24"/>
                </w:rPr>
                <w:t>www.leiti.org.lr</w:t>
              </w:r>
            </w:hyperlink>
            <w:r w:rsidRPr="00B64E68">
              <w:rPr>
                <w:rFonts w:ascii="Times New Roman" w:eastAsia="Calibri" w:hAnsi="Times New Roman" w:cs="Times New Roman"/>
                <w:sz w:val="24"/>
                <w:szCs w:val="24"/>
              </w:rPr>
              <w:t xml:space="preserve"> </w:t>
            </w:r>
          </w:p>
        </w:tc>
      </w:tr>
    </w:tbl>
    <w:p w14:paraId="33353BA4" w14:textId="77777777" w:rsidR="00423D65" w:rsidRPr="00B64E68" w:rsidRDefault="00423D65" w:rsidP="00423D65">
      <w:pPr>
        <w:jc w:val="both"/>
        <w:rPr>
          <w:rFonts w:ascii="Times New Roman" w:hAnsi="Times New Roman" w:cs="Times New Roman"/>
          <w:sz w:val="24"/>
          <w:szCs w:val="24"/>
        </w:rPr>
      </w:pPr>
    </w:p>
    <w:p w14:paraId="1C3DE077" w14:textId="37FF99E4" w:rsidR="00423D65" w:rsidRPr="00B64E68" w:rsidRDefault="00423D65" w:rsidP="00222665">
      <w:pPr>
        <w:pStyle w:val="Heading1"/>
      </w:pPr>
      <w:bookmarkStart w:id="12" w:name="_Toc217895914"/>
      <w:r w:rsidRPr="00B64E68">
        <w:t>Specific Strengths and Weaknesses identified in the EITI Process</w:t>
      </w:r>
      <w:bookmarkEnd w:id="12"/>
    </w:p>
    <w:p w14:paraId="0CD8FF90" w14:textId="77777777" w:rsidR="00423D65" w:rsidRPr="00B64E68" w:rsidRDefault="00423D65" w:rsidP="00423D65">
      <w:pPr>
        <w:spacing w:after="0" w:line="240" w:lineRule="auto"/>
        <w:contextualSpacing/>
        <w:jc w:val="both"/>
        <w:rPr>
          <w:rFonts w:ascii="Times New Roman" w:hAnsi="Times New Roman" w:cs="Times New Roman"/>
          <w:sz w:val="24"/>
          <w:szCs w:val="24"/>
        </w:rPr>
      </w:pPr>
      <w:r w:rsidRPr="00B64E68">
        <w:rPr>
          <w:rFonts w:ascii="Times New Roman" w:hAnsi="Times New Roman" w:cs="Times New Roman"/>
          <w:sz w:val="24"/>
          <w:szCs w:val="24"/>
        </w:rPr>
        <w:t>Major Strengths</w:t>
      </w:r>
    </w:p>
    <w:p w14:paraId="7BD0F1FA" w14:textId="77777777" w:rsidR="00423D65" w:rsidRPr="00B64E68" w:rsidRDefault="00423D65" w:rsidP="00423D65">
      <w:pPr>
        <w:pStyle w:val="ListParagraph"/>
        <w:spacing w:after="0" w:line="240" w:lineRule="auto"/>
        <w:jc w:val="both"/>
        <w:rPr>
          <w:rFonts w:ascii="Times New Roman" w:hAnsi="Times New Roman" w:cs="Times New Roman"/>
          <w:color w:val="FF0000"/>
          <w:sz w:val="24"/>
          <w:szCs w:val="24"/>
        </w:rPr>
      </w:pPr>
    </w:p>
    <w:p w14:paraId="19E00CA4" w14:textId="77777777" w:rsidR="00423D65" w:rsidRPr="00B64E68" w:rsidRDefault="00423D65" w:rsidP="00423D65">
      <w:pPr>
        <w:spacing w:after="0"/>
        <w:contextualSpacing/>
        <w:jc w:val="both"/>
        <w:rPr>
          <w:rFonts w:ascii="Times New Roman" w:hAnsi="Times New Roman" w:cs="Times New Roman"/>
          <w:b/>
          <w:bCs/>
          <w:sz w:val="24"/>
          <w:szCs w:val="24"/>
          <w:u w:val="single"/>
        </w:rPr>
      </w:pPr>
      <w:r w:rsidRPr="00B64E68">
        <w:rPr>
          <w:rFonts w:ascii="Times New Roman" w:hAnsi="Times New Roman" w:cs="Times New Roman"/>
          <w:b/>
          <w:bCs/>
          <w:sz w:val="24"/>
          <w:szCs w:val="24"/>
          <w:u w:val="single"/>
        </w:rPr>
        <w:t xml:space="preserve">Major Strengths </w:t>
      </w:r>
    </w:p>
    <w:p w14:paraId="4351BD21" w14:textId="404BB60B" w:rsidR="00423D65" w:rsidRPr="00B64E68" w:rsidRDefault="00423D65" w:rsidP="00423D65">
      <w:pPr>
        <w:spacing w:after="0"/>
        <w:contextualSpacing/>
        <w:jc w:val="both"/>
        <w:rPr>
          <w:rFonts w:ascii="Times New Roman" w:hAnsi="Times New Roman" w:cs="Times New Roman"/>
          <w:sz w:val="24"/>
          <w:szCs w:val="24"/>
        </w:rPr>
      </w:pPr>
      <w:r w:rsidRPr="00B64E68">
        <w:rPr>
          <w:rFonts w:ascii="Times New Roman" w:hAnsi="Times New Roman" w:cs="Times New Roman"/>
          <w:b/>
          <w:sz w:val="24"/>
          <w:szCs w:val="24"/>
        </w:rPr>
        <w:t>Independence of the MSG</w:t>
      </w:r>
      <w:r w:rsidRPr="00B64E68">
        <w:rPr>
          <w:rFonts w:ascii="Times New Roman" w:hAnsi="Times New Roman" w:cs="Times New Roman"/>
          <w:sz w:val="24"/>
          <w:szCs w:val="24"/>
        </w:rPr>
        <w:t xml:space="preserve">- A </w:t>
      </w:r>
      <w:r w:rsidR="00CB1E43">
        <w:rPr>
          <w:rFonts w:ascii="Times New Roman" w:hAnsi="Times New Roman" w:cs="Times New Roman"/>
          <w:sz w:val="24"/>
          <w:szCs w:val="24"/>
        </w:rPr>
        <w:t>significant</w:t>
      </w:r>
      <w:r w:rsidRPr="00B64E68">
        <w:rPr>
          <w:rFonts w:ascii="Times New Roman" w:hAnsi="Times New Roman" w:cs="Times New Roman"/>
          <w:sz w:val="24"/>
          <w:szCs w:val="24"/>
        </w:rPr>
        <w:t xml:space="preserve"> strength of the process is the cohesive and independent nature of the LEITI MSG. During the review period, the tripartite arrangement remained visibly functional, with </w:t>
      </w:r>
      <w:r w:rsidR="00CB1E43">
        <w:rPr>
          <w:rFonts w:ascii="Times New Roman" w:hAnsi="Times New Roman" w:cs="Times New Roman"/>
          <w:sz w:val="24"/>
          <w:szCs w:val="24"/>
        </w:rPr>
        <w:t>each party exercising its independence</w:t>
      </w:r>
      <w:r w:rsidRPr="00B64E68">
        <w:rPr>
          <w:rFonts w:ascii="Times New Roman" w:hAnsi="Times New Roman" w:cs="Times New Roman"/>
          <w:sz w:val="24"/>
          <w:szCs w:val="24"/>
        </w:rPr>
        <w:t xml:space="preserve">. Decisions were sought through </w:t>
      </w:r>
      <w:r w:rsidR="00CB1E43">
        <w:rPr>
          <w:rFonts w:ascii="Times New Roman" w:hAnsi="Times New Roman" w:cs="Times New Roman"/>
          <w:sz w:val="24"/>
          <w:szCs w:val="24"/>
        </w:rPr>
        <w:t>consensus-building</w:t>
      </w:r>
      <w:r w:rsidRPr="00B64E68">
        <w:rPr>
          <w:rFonts w:ascii="Times New Roman" w:hAnsi="Times New Roman" w:cs="Times New Roman"/>
          <w:sz w:val="24"/>
          <w:szCs w:val="24"/>
        </w:rPr>
        <w:t xml:space="preserve"> rather than through voting.</w:t>
      </w:r>
    </w:p>
    <w:p w14:paraId="31D174C1" w14:textId="77777777" w:rsidR="00423D65" w:rsidRPr="00B64E68" w:rsidRDefault="00423D65" w:rsidP="00423D65">
      <w:pPr>
        <w:pStyle w:val="ListParagraph"/>
        <w:spacing w:after="0"/>
        <w:jc w:val="both"/>
        <w:rPr>
          <w:rFonts w:ascii="Times New Roman" w:hAnsi="Times New Roman" w:cs="Times New Roman"/>
          <w:color w:val="FF0000"/>
          <w:sz w:val="24"/>
          <w:szCs w:val="24"/>
        </w:rPr>
      </w:pPr>
    </w:p>
    <w:p w14:paraId="766F616F" w14:textId="169AC5B0" w:rsidR="00423D65" w:rsidRPr="00B64E68" w:rsidRDefault="00CB1E43" w:rsidP="00423D65">
      <w:pPr>
        <w:spacing w:after="0"/>
        <w:jc w:val="both"/>
        <w:rPr>
          <w:rFonts w:ascii="Times New Roman" w:hAnsi="Times New Roman" w:cs="Times New Roman"/>
          <w:color w:val="FF0000"/>
          <w:sz w:val="24"/>
          <w:szCs w:val="24"/>
        </w:rPr>
      </w:pPr>
      <w:r>
        <w:rPr>
          <w:rFonts w:ascii="Times New Roman" w:hAnsi="Times New Roman" w:cs="Times New Roman"/>
          <w:b/>
          <w:i/>
          <w:sz w:val="24"/>
          <w:szCs w:val="24"/>
        </w:rPr>
        <w:t>Restaffing: The Secretariat is now operating at full staff capacity</w:t>
      </w:r>
      <w:r w:rsidR="00423D65" w:rsidRPr="00B64E68">
        <w:rPr>
          <w:rFonts w:ascii="Times New Roman" w:hAnsi="Times New Roman" w:cs="Times New Roman"/>
          <w:color w:val="000000" w:themeColor="text1"/>
          <w:sz w:val="24"/>
          <w:szCs w:val="24"/>
        </w:rPr>
        <w:t>. In 202</w:t>
      </w:r>
      <w:r w:rsidR="00F47487">
        <w:rPr>
          <w:rFonts w:ascii="Times New Roman" w:hAnsi="Times New Roman" w:cs="Times New Roman"/>
          <w:color w:val="000000" w:themeColor="text1"/>
          <w:sz w:val="24"/>
          <w:szCs w:val="24"/>
        </w:rPr>
        <w:t>5</w:t>
      </w:r>
      <w:r w:rsidR="00423D65" w:rsidRPr="00B64E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following an assessment report, the MSG mandated that the Secretariat fill existing vacancies, resulting in the appointment of a Communications and Outreach Officer and an </w:t>
      </w:r>
      <w:r w:rsidR="00423D65" w:rsidRPr="00B64E68">
        <w:rPr>
          <w:rFonts w:ascii="Times New Roman" w:hAnsi="Times New Roman" w:cs="Times New Roman"/>
          <w:color w:val="000000" w:themeColor="text1"/>
          <w:sz w:val="24"/>
          <w:szCs w:val="24"/>
        </w:rPr>
        <w:t>Administrative Manage</w:t>
      </w:r>
      <w:r>
        <w:rPr>
          <w:rFonts w:ascii="Times New Roman" w:hAnsi="Times New Roman" w:cs="Times New Roman"/>
          <w:color w:val="000000" w:themeColor="text1"/>
          <w:sz w:val="24"/>
          <w:szCs w:val="24"/>
        </w:rPr>
        <w:t>r.</w:t>
      </w:r>
    </w:p>
    <w:p w14:paraId="29F9D38A" w14:textId="77777777" w:rsidR="00423D65" w:rsidRPr="00B64E68" w:rsidRDefault="00423D65" w:rsidP="00423D65">
      <w:pPr>
        <w:spacing w:after="0"/>
        <w:jc w:val="both"/>
        <w:rPr>
          <w:rFonts w:ascii="Times New Roman" w:hAnsi="Times New Roman" w:cs="Times New Roman"/>
          <w:b/>
          <w:i/>
          <w:sz w:val="24"/>
          <w:szCs w:val="24"/>
          <w:u w:val="single"/>
        </w:rPr>
      </w:pPr>
      <w:r w:rsidRPr="00B64E68">
        <w:rPr>
          <w:rFonts w:ascii="Times New Roman" w:hAnsi="Times New Roman" w:cs="Times New Roman"/>
          <w:b/>
          <w:i/>
          <w:sz w:val="24"/>
          <w:szCs w:val="24"/>
          <w:u w:val="single"/>
        </w:rPr>
        <w:t>Weaknesses</w:t>
      </w:r>
    </w:p>
    <w:p w14:paraId="7035247B" w14:textId="77777777" w:rsidR="00423D65" w:rsidRPr="00B64E68" w:rsidRDefault="00423D65" w:rsidP="00423D65">
      <w:pPr>
        <w:spacing w:after="0"/>
        <w:jc w:val="both"/>
        <w:rPr>
          <w:rFonts w:ascii="Times New Roman" w:hAnsi="Times New Roman" w:cs="Times New Roman"/>
          <w:sz w:val="24"/>
          <w:szCs w:val="24"/>
        </w:rPr>
      </w:pPr>
      <w:r w:rsidRPr="00B64E68">
        <w:rPr>
          <w:rFonts w:ascii="Times New Roman" w:hAnsi="Times New Roman" w:cs="Times New Roman"/>
          <w:sz w:val="24"/>
          <w:szCs w:val="24"/>
        </w:rPr>
        <w:t>The most notable weaknesses observed over the review period include the following:</w:t>
      </w:r>
    </w:p>
    <w:p w14:paraId="4D895AD6" w14:textId="2681A542" w:rsidR="00423D65" w:rsidRDefault="00423D65" w:rsidP="00423D65">
      <w:pPr>
        <w:spacing w:after="0"/>
        <w:jc w:val="both"/>
        <w:rPr>
          <w:rFonts w:ascii="Times New Roman" w:hAnsi="Times New Roman" w:cs="Times New Roman"/>
          <w:sz w:val="24"/>
          <w:szCs w:val="24"/>
        </w:rPr>
      </w:pPr>
      <w:r w:rsidRPr="00B64E68">
        <w:rPr>
          <w:rFonts w:ascii="Times New Roman" w:hAnsi="Times New Roman" w:cs="Times New Roman"/>
          <w:b/>
          <w:i/>
          <w:sz w:val="24"/>
          <w:szCs w:val="24"/>
        </w:rPr>
        <w:t>Funding</w:t>
      </w:r>
      <w:r w:rsidR="00CB1E43">
        <w:rPr>
          <w:rFonts w:ascii="Times New Roman" w:hAnsi="Times New Roman" w:cs="Times New Roman"/>
          <w:sz w:val="24"/>
          <w:szCs w:val="24"/>
        </w:rPr>
        <w:t xml:space="preserve"> – The government’s support for the LEITI through budgetary appropriations </w:t>
      </w:r>
      <w:r w:rsidR="00745EF5">
        <w:rPr>
          <w:rFonts w:ascii="Times New Roman" w:hAnsi="Times New Roman" w:cs="Times New Roman"/>
          <w:sz w:val="24"/>
          <w:szCs w:val="24"/>
        </w:rPr>
        <w:t>remains insufficient</w:t>
      </w:r>
      <w:r w:rsidR="00CB1E43">
        <w:rPr>
          <w:rFonts w:ascii="Times New Roman" w:hAnsi="Times New Roman" w:cs="Times New Roman"/>
          <w:sz w:val="24"/>
          <w:szCs w:val="24"/>
        </w:rPr>
        <w:t>,</w:t>
      </w:r>
      <w:r w:rsidRPr="00B64E68">
        <w:rPr>
          <w:rFonts w:ascii="Times New Roman" w:hAnsi="Times New Roman" w:cs="Times New Roman"/>
          <w:sz w:val="24"/>
          <w:szCs w:val="24"/>
        </w:rPr>
        <w:t xml:space="preserve"> </w:t>
      </w:r>
      <w:r w:rsidR="00745EF5">
        <w:rPr>
          <w:rFonts w:ascii="Times New Roman" w:hAnsi="Times New Roman" w:cs="Times New Roman"/>
          <w:sz w:val="24"/>
          <w:szCs w:val="24"/>
        </w:rPr>
        <w:t xml:space="preserve">thereby </w:t>
      </w:r>
      <w:r w:rsidRPr="00B64E68">
        <w:rPr>
          <w:rFonts w:ascii="Times New Roman" w:hAnsi="Times New Roman" w:cs="Times New Roman"/>
          <w:sz w:val="24"/>
          <w:szCs w:val="24"/>
        </w:rPr>
        <w:t xml:space="preserve">affecting workplan implementation. </w:t>
      </w:r>
    </w:p>
    <w:p w14:paraId="5D7A2B92" w14:textId="77777777" w:rsidR="00745EF5" w:rsidRPr="00B64E68" w:rsidRDefault="00745EF5" w:rsidP="00423D65">
      <w:pPr>
        <w:spacing w:after="0"/>
        <w:jc w:val="both"/>
        <w:rPr>
          <w:rFonts w:ascii="Times New Roman" w:hAnsi="Times New Roman" w:cs="Times New Roman"/>
          <w:sz w:val="24"/>
          <w:szCs w:val="24"/>
        </w:rPr>
      </w:pPr>
    </w:p>
    <w:p w14:paraId="296E91D2" w14:textId="0DFDCE46" w:rsidR="00423D65" w:rsidRPr="00B64E68" w:rsidRDefault="00423D65" w:rsidP="00423D65">
      <w:pPr>
        <w:spacing w:after="0"/>
        <w:jc w:val="both"/>
        <w:rPr>
          <w:rFonts w:ascii="Times New Roman" w:hAnsi="Times New Roman" w:cs="Times New Roman"/>
          <w:sz w:val="24"/>
          <w:szCs w:val="24"/>
        </w:rPr>
      </w:pPr>
      <w:r w:rsidRPr="00B64E68">
        <w:rPr>
          <w:rFonts w:ascii="Times New Roman" w:hAnsi="Times New Roman" w:cs="Times New Roman"/>
          <w:b/>
          <w:bCs/>
          <w:sz w:val="24"/>
          <w:szCs w:val="24"/>
        </w:rPr>
        <w:t xml:space="preserve">Political Transition- </w:t>
      </w:r>
      <w:r w:rsidRPr="00B64E68">
        <w:rPr>
          <w:rFonts w:ascii="Times New Roman" w:hAnsi="Times New Roman" w:cs="Times New Roman"/>
          <w:sz w:val="24"/>
          <w:szCs w:val="24"/>
        </w:rPr>
        <w:t xml:space="preserve">Due to the election of a new government, there were new </w:t>
      </w:r>
      <w:r>
        <w:rPr>
          <w:rFonts w:ascii="Times New Roman" w:hAnsi="Times New Roman" w:cs="Times New Roman"/>
          <w:sz w:val="24"/>
          <w:szCs w:val="24"/>
        </w:rPr>
        <w:t>appointments</w:t>
      </w:r>
      <w:r w:rsidRPr="00B64E68">
        <w:rPr>
          <w:rFonts w:ascii="Times New Roman" w:hAnsi="Times New Roman" w:cs="Times New Roman"/>
          <w:sz w:val="24"/>
          <w:szCs w:val="24"/>
        </w:rPr>
        <w:t xml:space="preserve"> made</w:t>
      </w:r>
      <w:r w:rsidR="00CB1E43">
        <w:rPr>
          <w:rFonts w:ascii="Times New Roman" w:hAnsi="Times New Roman" w:cs="Times New Roman"/>
          <w:sz w:val="24"/>
          <w:szCs w:val="24"/>
        </w:rPr>
        <w:t>, especially from the government angle and constituency,</w:t>
      </w:r>
      <w:r w:rsidRPr="00B64E68">
        <w:rPr>
          <w:rFonts w:ascii="Times New Roman" w:hAnsi="Times New Roman" w:cs="Times New Roman"/>
          <w:sz w:val="24"/>
          <w:szCs w:val="24"/>
        </w:rPr>
        <w:t xml:space="preserve"> who needed time to adjust and understand the process. </w:t>
      </w:r>
      <w:r w:rsidR="00CB1E43">
        <w:rPr>
          <w:rFonts w:ascii="Times New Roman" w:hAnsi="Times New Roman" w:cs="Times New Roman"/>
          <w:sz w:val="24"/>
          <w:szCs w:val="24"/>
        </w:rPr>
        <w:t>An orientation for these members was held in March 2024.</w:t>
      </w:r>
    </w:p>
    <w:p w14:paraId="11DCE31C" w14:textId="77777777" w:rsidR="00423D65" w:rsidRPr="00B64E68" w:rsidRDefault="00423D65" w:rsidP="00423D65">
      <w:pPr>
        <w:spacing w:after="0"/>
        <w:jc w:val="both"/>
        <w:rPr>
          <w:rFonts w:ascii="Times New Roman" w:hAnsi="Times New Roman" w:cs="Times New Roman"/>
          <w:sz w:val="24"/>
          <w:szCs w:val="24"/>
        </w:rPr>
      </w:pPr>
    </w:p>
    <w:p w14:paraId="62015707" w14:textId="6AD89978" w:rsidR="00423D65" w:rsidRPr="00B64E68" w:rsidRDefault="00423D65" w:rsidP="00423D65">
      <w:pPr>
        <w:spacing w:after="0"/>
        <w:jc w:val="both"/>
        <w:rPr>
          <w:rFonts w:ascii="Times New Roman" w:hAnsi="Times New Roman" w:cs="Times New Roman"/>
          <w:sz w:val="24"/>
          <w:szCs w:val="24"/>
        </w:rPr>
      </w:pPr>
      <w:r w:rsidRPr="00B64E68">
        <w:rPr>
          <w:rFonts w:ascii="Times New Roman" w:hAnsi="Times New Roman" w:cs="Times New Roman"/>
          <w:b/>
          <w:bCs/>
          <w:sz w:val="24"/>
          <w:szCs w:val="24"/>
        </w:rPr>
        <w:t>Staff salary cut</w:t>
      </w:r>
      <w:r w:rsidR="00CB1E43">
        <w:rPr>
          <w:rFonts w:ascii="Times New Roman" w:hAnsi="Times New Roman" w:cs="Times New Roman"/>
          <w:b/>
          <w:bCs/>
          <w:sz w:val="24"/>
          <w:szCs w:val="24"/>
        </w:rPr>
        <w:t xml:space="preserve">: </w:t>
      </w:r>
      <w:r w:rsidR="00CB1E43" w:rsidRPr="00CB1E43">
        <w:rPr>
          <w:rFonts w:ascii="Times New Roman" w:hAnsi="Times New Roman" w:cs="Times New Roman"/>
          <w:sz w:val="24"/>
          <w:szCs w:val="24"/>
        </w:rPr>
        <w:t>The national harmonization policy, instituted in 2019 and resulting in a drastic reduction in Secretariat staff salaries, is severely demotivating staff</w:t>
      </w:r>
      <w:r w:rsidRPr="00B64E68">
        <w:rPr>
          <w:rFonts w:ascii="Times New Roman" w:hAnsi="Times New Roman" w:cs="Times New Roman"/>
          <w:sz w:val="24"/>
          <w:szCs w:val="24"/>
        </w:rPr>
        <w:t>. As a result, the Secretariat continues to experience staff turnover.</w:t>
      </w:r>
    </w:p>
    <w:p w14:paraId="687487AC" w14:textId="77777777" w:rsidR="00423D65" w:rsidRPr="00B64E68" w:rsidRDefault="00423D65" w:rsidP="00423D65">
      <w:pPr>
        <w:spacing w:after="0"/>
        <w:jc w:val="both"/>
        <w:rPr>
          <w:rFonts w:ascii="Times New Roman" w:hAnsi="Times New Roman" w:cs="Times New Roman"/>
          <w:sz w:val="24"/>
          <w:szCs w:val="24"/>
        </w:rPr>
      </w:pPr>
    </w:p>
    <w:p w14:paraId="5985D369" w14:textId="2123EDE2" w:rsidR="00423D65" w:rsidRPr="00B64E68" w:rsidRDefault="00423D65" w:rsidP="00423D65">
      <w:pPr>
        <w:spacing w:after="0"/>
        <w:jc w:val="both"/>
        <w:rPr>
          <w:rFonts w:ascii="Times New Roman" w:hAnsi="Times New Roman" w:cs="Times New Roman"/>
          <w:sz w:val="24"/>
          <w:szCs w:val="24"/>
        </w:rPr>
      </w:pPr>
      <w:r w:rsidRPr="00B64E68">
        <w:rPr>
          <w:rFonts w:ascii="Times New Roman" w:hAnsi="Times New Roman" w:cs="Times New Roman"/>
          <w:b/>
          <w:bCs/>
          <w:sz w:val="24"/>
          <w:szCs w:val="24"/>
        </w:rPr>
        <w:t>Formalization of the ASM sector</w:t>
      </w:r>
      <w:r w:rsidRPr="00B64E68">
        <w:rPr>
          <w:rFonts w:ascii="Times New Roman" w:hAnsi="Times New Roman" w:cs="Times New Roman"/>
          <w:sz w:val="24"/>
          <w:szCs w:val="24"/>
        </w:rPr>
        <w:t xml:space="preserve">: Despite efforts by the Ministry of Mines and Energy to formalize the sector, the </w:t>
      </w:r>
      <w:r w:rsidR="00376F00">
        <w:rPr>
          <w:rFonts w:ascii="Times New Roman" w:hAnsi="Times New Roman" w:cs="Times New Roman"/>
          <w:sz w:val="24"/>
          <w:szCs w:val="24"/>
        </w:rPr>
        <w:t xml:space="preserve">country risks significant revenue losses due to the sector's current status, which poses a serious challenge to </w:t>
      </w:r>
      <w:r w:rsidRPr="00B64E68">
        <w:rPr>
          <w:rFonts w:ascii="Times New Roman" w:hAnsi="Times New Roman" w:cs="Times New Roman"/>
          <w:sz w:val="24"/>
          <w:szCs w:val="24"/>
        </w:rPr>
        <w:t>EITI implementation</w:t>
      </w:r>
      <w:r w:rsidR="00376F00">
        <w:rPr>
          <w:rFonts w:ascii="Times New Roman" w:hAnsi="Times New Roman" w:cs="Times New Roman"/>
          <w:sz w:val="24"/>
          <w:szCs w:val="24"/>
        </w:rPr>
        <w:t xml:space="preserve">. </w:t>
      </w:r>
    </w:p>
    <w:p w14:paraId="7E0C3BA2" w14:textId="77777777" w:rsidR="00423D65" w:rsidRDefault="00423D65" w:rsidP="00423D65">
      <w:pPr>
        <w:spacing w:after="0" w:line="240" w:lineRule="auto"/>
        <w:contextualSpacing/>
        <w:jc w:val="both"/>
        <w:rPr>
          <w:rFonts w:ascii="Times New Roman" w:hAnsi="Times New Roman" w:cs="Times New Roman"/>
          <w:sz w:val="24"/>
          <w:szCs w:val="24"/>
        </w:rPr>
      </w:pPr>
    </w:p>
    <w:p w14:paraId="42AF95CE" w14:textId="77777777" w:rsidR="00376F00" w:rsidRDefault="00376F00" w:rsidP="00423D65">
      <w:pPr>
        <w:spacing w:after="0" w:line="240" w:lineRule="auto"/>
        <w:contextualSpacing/>
        <w:jc w:val="both"/>
        <w:rPr>
          <w:rFonts w:ascii="Times New Roman" w:hAnsi="Times New Roman" w:cs="Times New Roman"/>
          <w:sz w:val="24"/>
          <w:szCs w:val="24"/>
        </w:rPr>
      </w:pPr>
    </w:p>
    <w:p w14:paraId="018708B5" w14:textId="488106E0" w:rsidR="00423D65" w:rsidRPr="00B64E68" w:rsidRDefault="00423D65" w:rsidP="00222665">
      <w:pPr>
        <w:pStyle w:val="Heading1"/>
      </w:pPr>
      <w:bookmarkStart w:id="13" w:name="_Toc217895915"/>
      <w:r w:rsidRPr="00B64E68">
        <w:t>Total Implementation Cost</w:t>
      </w:r>
      <w:bookmarkEnd w:id="13"/>
    </w:p>
    <w:p w14:paraId="3465A8E0" w14:textId="4B3DFC0B" w:rsidR="00423D65" w:rsidRDefault="00423D65" w:rsidP="00423D65">
      <w:pPr>
        <w:spacing w:after="0" w:line="240" w:lineRule="auto"/>
        <w:contextualSpacing/>
        <w:jc w:val="both"/>
        <w:rPr>
          <w:rFonts w:ascii="Times New Roman" w:hAnsi="Times New Roman" w:cs="Times New Roman"/>
          <w:sz w:val="24"/>
          <w:szCs w:val="24"/>
        </w:rPr>
      </w:pPr>
      <w:r w:rsidRPr="00B64E68">
        <w:rPr>
          <w:rFonts w:ascii="Times New Roman" w:hAnsi="Times New Roman" w:cs="Times New Roman"/>
          <w:sz w:val="24"/>
          <w:szCs w:val="24"/>
        </w:rPr>
        <w:t xml:space="preserve">Below is a breakdown of </w:t>
      </w:r>
      <w:r w:rsidR="00376F00">
        <w:rPr>
          <w:rFonts w:ascii="Times New Roman" w:hAnsi="Times New Roman" w:cs="Times New Roman"/>
          <w:sz w:val="24"/>
          <w:szCs w:val="24"/>
        </w:rPr>
        <w:t>implementation costs for the 202</w:t>
      </w:r>
      <w:r w:rsidR="00EB14BC">
        <w:rPr>
          <w:rFonts w:ascii="Times New Roman" w:hAnsi="Times New Roman" w:cs="Times New Roman"/>
          <w:sz w:val="24"/>
          <w:szCs w:val="24"/>
        </w:rPr>
        <w:t>5</w:t>
      </w:r>
      <w:r w:rsidR="00376F00">
        <w:rPr>
          <w:rFonts w:ascii="Times New Roman" w:hAnsi="Times New Roman" w:cs="Times New Roman"/>
          <w:sz w:val="24"/>
          <w:szCs w:val="24"/>
        </w:rPr>
        <w:t xml:space="preserve"> reporting period</w:t>
      </w:r>
      <w:r w:rsidRPr="00B64E68">
        <w:rPr>
          <w:rFonts w:ascii="Times New Roman" w:hAnsi="Times New Roman" w:cs="Times New Roman"/>
          <w:sz w:val="24"/>
          <w:szCs w:val="24"/>
        </w:rPr>
        <w:t xml:space="preserve">. </w:t>
      </w:r>
    </w:p>
    <w:p w14:paraId="2E268187" w14:textId="249819D9" w:rsidR="00376F00" w:rsidRPr="00B64E68" w:rsidRDefault="001C5130" w:rsidP="00423D65">
      <w:pPr>
        <w:spacing w:after="0" w:line="240" w:lineRule="auto"/>
        <w:contextualSpacing/>
        <w:jc w:val="both"/>
        <w:rPr>
          <w:rFonts w:ascii="Times New Roman" w:hAnsi="Times New Roman" w:cs="Times New Roman"/>
          <w:sz w:val="24"/>
          <w:szCs w:val="24"/>
        </w:rPr>
      </w:pPr>
      <w:r w:rsidRPr="001C5130">
        <w:rPr>
          <w:noProof/>
        </w:rPr>
        <w:drawing>
          <wp:inline distT="0" distB="0" distL="0" distR="0" wp14:anchorId="67AF886A" wp14:editId="6D0A9954">
            <wp:extent cx="5937250" cy="3403600"/>
            <wp:effectExtent l="0" t="0" r="6350" b="6350"/>
            <wp:docPr id="3674627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50" cy="3403600"/>
                    </a:xfrm>
                    <a:prstGeom prst="rect">
                      <a:avLst/>
                    </a:prstGeom>
                    <a:noFill/>
                    <a:ln>
                      <a:noFill/>
                    </a:ln>
                  </pic:spPr>
                </pic:pic>
              </a:graphicData>
            </a:graphic>
          </wp:inline>
        </w:drawing>
      </w:r>
    </w:p>
    <w:p w14:paraId="03BBF797" w14:textId="77777777" w:rsidR="00423D65" w:rsidRPr="00B64E68" w:rsidRDefault="00423D65" w:rsidP="00423D65">
      <w:pPr>
        <w:spacing w:after="0" w:line="240" w:lineRule="auto"/>
        <w:contextualSpacing/>
        <w:jc w:val="both"/>
        <w:rPr>
          <w:rFonts w:ascii="Times New Roman" w:hAnsi="Times New Roman" w:cs="Times New Roman"/>
          <w:sz w:val="24"/>
          <w:szCs w:val="24"/>
        </w:rPr>
      </w:pPr>
    </w:p>
    <w:p w14:paraId="5D160A76" w14:textId="67F78EEA" w:rsidR="00423D65" w:rsidRPr="00B64E68" w:rsidRDefault="00423D65" w:rsidP="00222665">
      <w:pPr>
        <w:pStyle w:val="Heading1"/>
        <w:rPr>
          <w:rFonts w:eastAsia="Calibri"/>
        </w:rPr>
      </w:pPr>
      <w:bookmarkStart w:id="14" w:name="_Toc217895916"/>
      <w:r w:rsidRPr="00B64E68">
        <w:rPr>
          <w:rFonts w:eastAsia="Calibri"/>
        </w:rPr>
        <w:t>Activities of the Broader Constituency of the MSG</w:t>
      </w:r>
      <w:bookmarkEnd w:id="14"/>
    </w:p>
    <w:p w14:paraId="319C29F5" w14:textId="0180678B" w:rsidR="00423D65" w:rsidRPr="00B64E68" w:rsidRDefault="00423D65" w:rsidP="00423D65">
      <w:pPr>
        <w:jc w:val="both"/>
        <w:rPr>
          <w:rFonts w:ascii="Times New Roman" w:hAnsi="Times New Roman" w:cs="Times New Roman"/>
          <w:sz w:val="24"/>
          <w:szCs w:val="24"/>
        </w:rPr>
      </w:pPr>
      <w:r w:rsidRPr="00B64E68">
        <w:rPr>
          <w:rFonts w:ascii="Times New Roman" w:hAnsi="Times New Roman" w:cs="Times New Roman"/>
          <w:sz w:val="24"/>
          <w:szCs w:val="24"/>
        </w:rPr>
        <w:t xml:space="preserve">This section of the APR reviews activities implemented by members of the respective constituent groups outside of the MSG. It </w:t>
      </w:r>
      <w:r w:rsidR="00614380">
        <w:rPr>
          <w:rFonts w:ascii="Times New Roman" w:hAnsi="Times New Roman" w:cs="Times New Roman"/>
          <w:sz w:val="24"/>
          <w:szCs w:val="24"/>
        </w:rPr>
        <w:t xml:space="preserve">outlines and captures </w:t>
      </w:r>
      <w:r w:rsidR="001C5130">
        <w:rPr>
          <w:rFonts w:ascii="Times New Roman" w:hAnsi="Times New Roman" w:cs="Times New Roman"/>
          <w:sz w:val="24"/>
          <w:szCs w:val="24"/>
        </w:rPr>
        <w:t>the activities undertaken by the body's broader constituencies to implement</w:t>
      </w:r>
      <w:r w:rsidRPr="00B64E68">
        <w:rPr>
          <w:rFonts w:ascii="Times New Roman" w:hAnsi="Times New Roman" w:cs="Times New Roman"/>
          <w:sz w:val="24"/>
          <w:szCs w:val="24"/>
        </w:rPr>
        <w:t xml:space="preserve"> the EITI in Liberia.</w:t>
      </w:r>
    </w:p>
    <w:p w14:paraId="4F0274B8" w14:textId="308167F2" w:rsidR="00423D65" w:rsidRPr="00B64E68" w:rsidRDefault="00423D65" w:rsidP="00423D65">
      <w:pPr>
        <w:spacing w:after="0"/>
        <w:jc w:val="both"/>
        <w:rPr>
          <w:rFonts w:ascii="Times New Roman" w:hAnsi="Times New Roman" w:cs="Times New Roman"/>
          <w:sz w:val="24"/>
          <w:szCs w:val="24"/>
          <w:lang w:val="en-LR" w:eastAsia="en-LR"/>
        </w:rPr>
      </w:pPr>
      <w:r w:rsidRPr="00B64E68">
        <w:rPr>
          <w:rFonts w:ascii="Times New Roman" w:hAnsi="Times New Roman" w:cs="Times New Roman"/>
          <w:b/>
          <w:bCs/>
          <w:sz w:val="24"/>
          <w:szCs w:val="24"/>
          <w:lang w:val="en-LR" w:eastAsia="en-LR"/>
        </w:rPr>
        <w:t xml:space="preserve">Liberia Petroleum Regulatory Authority Holds </w:t>
      </w:r>
      <w:r w:rsidR="001C5130" w:rsidRPr="00B64E68">
        <w:rPr>
          <w:rFonts w:ascii="Times New Roman" w:hAnsi="Times New Roman" w:cs="Times New Roman"/>
          <w:b/>
          <w:bCs/>
          <w:sz w:val="24"/>
          <w:szCs w:val="24"/>
          <w:lang w:val="en-LR" w:eastAsia="en-LR"/>
        </w:rPr>
        <w:t>a</w:t>
      </w:r>
      <w:r w:rsidRPr="00B64E68">
        <w:rPr>
          <w:rFonts w:ascii="Times New Roman" w:hAnsi="Times New Roman" w:cs="Times New Roman"/>
          <w:b/>
          <w:bCs/>
          <w:sz w:val="24"/>
          <w:szCs w:val="24"/>
          <w:lang w:val="en-LR" w:eastAsia="en-LR"/>
        </w:rPr>
        <w:t xml:space="preserve"> Day Workshop </w:t>
      </w:r>
      <w:r w:rsidR="00614380" w:rsidRPr="00B64E68">
        <w:rPr>
          <w:rFonts w:ascii="Times New Roman" w:hAnsi="Times New Roman" w:cs="Times New Roman"/>
          <w:b/>
          <w:bCs/>
          <w:sz w:val="24"/>
          <w:szCs w:val="24"/>
          <w:lang w:val="en-LR" w:eastAsia="en-LR"/>
        </w:rPr>
        <w:t>on</w:t>
      </w:r>
      <w:r w:rsidRPr="00B64E68">
        <w:rPr>
          <w:rFonts w:ascii="Times New Roman" w:hAnsi="Times New Roman" w:cs="Times New Roman"/>
          <w:b/>
          <w:bCs/>
          <w:sz w:val="24"/>
          <w:szCs w:val="24"/>
          <w:lang w:val="en-LR" w:eastAsia="en-LR"/>
        </w:rPr>
        <w:t xml:space="preserve"> Beneficial Ownership </w:t>
      </w:r>
      <w:r w:rsidR="00614380" w:rsidRPr="00B64E68">
        <w:rPr>
          <w:rFonts w:ascii="Times New Roman" w:hAnsi="Times New Roman" w:cs="Times New Roman"/>
          <w:b/>
          <w:bCs/>
          <w:sz w:val="24"/>
          <w:szCs w:val="24"/>
          <w:lang w:val="en-LR" w:eastAsia="en-LR"/>
        </w:rPr>
        <w:t>with</w:t>
      </w:r>
      <w:r w:rsidRPr="00B64E68">
        <w:rPr>
          <w:rFonts w:ascii="Times New Roman" w:hAnsi="Times New Roman" w:cs="Times New Roman"/>
          <w:b/>
          <w:bCs/>
          <w:sz w:val="24"/>
          <w:szCs w:val="24"/>
          <w:lang w:val="en-LR" w:eastAsia="en-LR"/>
        </w:rPr>
        <w:t xml:space="preserve"> Key Stakeholders</w:t>
      </w:r>
    </w:p>
    <w:p w14:paraId="2C449315"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The Liberia Petroleum Regulatory Authority (LPRA) has emphasized the importance of Beneficial Ownership (BO) Transparency in managing the country's natural resources. Marilyn T. Logan, the Director General of LPRA, highlighted BO Transparency as a crucial element in ensuring that Liberia's natural resources, particularly petroleum, are managed effectively and for the benefit of all Liberians. This report details the discussions and outcomes of a one-day workshop on BO </w:t>
      </w:r>
      <w:r w:rsidRPr="00B64E68">
        <w:rPr>
          <w:rFonts w:ascii="Times New Roman" w:eastAsia="Times New Roman" w:hAnsi="Times New Roman" w:cs="Times New Roman"/>
          <w:sz w:val="24"/>
          <w:szCs w:val="24"/>
          <w:lang w:val="en-LR" w:eastAsia="en-LR"/>
        </w:rPr>
        <w:lastRenderedPageBreak/>
        <w:t>Transparency held in Monrovia, organized by the LPRA and facilitated by the Liberia Extractive Industries Transparency Initiative (LEITI).</w:t>
      </w:r>
    </w:p>
    <w:p w14:paraId="5DCB571B" w14:textId="77777777" w:rsidR="00423D65" w:rsidRPr="00B64E68" w:rsidRDefault="00423D65" w:rsidP="00423D65">
      <w:pPr>
        <w:spacing w:after="0" w:line="240" w:lineRule="auto"/>
        <w:jc w:val="both"/>
        <w:rPr>
          <w:rFonts w:ascii="Times New Roman" w:eastAsia="Times New Roman" w:hAnsi="Times New Roman" w:cs="Times New Roman"/>
          <w:b/>
          <w:bCs/>
          <w:sz w:val="24"/>
          <w:szCs w:val="24"/>
          <w:lang w:val="en-LR" w:eastAsia="en-LR"/>
        </w:rPr>
      </w:pPr>
    </w:p>
    <w:p w14:paraId="5CD995C7" w14:textId="5EBB4393"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workshop, held on August 13, 202</w:t>
      </w:r>
      <w:r w:rsidR="00614380">
        <w:rPr>
          <w:rFonts w:ascii="Times New Roman" w:eastAsia="Times New Roman" w:hAnsi="Times New Roman" w:cs="Times New Roman"/>
          <w:sz w:val="24"/>
          <w:szCs w:val="24"/>
          <w:lang w:val="en-LR" w:eastAsia="en-LR"/>
        </w:rPr>
        <w:t>5</w:t>
      </w:r>
      <w:r w:rsidRPr="00B64E68">
        <w:rPr>
          <w:rFonts w:ascii="Times New Roman" w:eastAsia="Times New Roman" w:hAnsi="Times New Roman" w:cs="Times New Roman"/>
          <w:sz w:val="24"/>
          <w:szCs w:val="24"/>
          <w:lang w:val="en-LR" w:eastAsia="en-LR"/>
        </w:rPr>
        <w:t>, at the LEITI Secretariat in Monrovia, brought together representatives from various government ministries, agencies, commissions, civil society organizations, and the media. The primary objectives were to:</w:t>
      </w:r>
    </w:p>
    <w:p w14:paraId="2253CD82" w14:textId="77777777" w:rsidR="00423D65" w:rsidRPr="00B64E68" w:rsidRDefault="00423D65" w:rsidP="00423D65">
      <w:pPr>
        <w:numPr>
          <w:ilvl w:val="0"/>
          <w:numId w:val="12"/>
        </w:num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Discuss the significance of BO Transparency in the oil and gas sector</w:t>
      </w:r>
    </w:p>
    <w:p w14:paraId="03FFC261" w14:textId="77777777" w:rsidR="00423D65" w:rsidRPr="00B64E68" w:rsidRDefault="00423D65" w:rsidP="00423D65">
      <w:pPr>
        <w:numPr>
          <w:ilvl w:val="0"/>
          <w:numId w:val="12"/>
        </w:num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Review Liberia's progress in implementing a Beneficial Ownership Regime</w:t>
      </w:r>
    </w:p>
    <w:p w14:paraId="05D0C807" w14:textId="77777777" w:rsidR="00423D65" w:rsidRPr="00B64E68" w:rsidRDefault="00423D65" w:rsidP="00423D65">
      <w:pPr>
        <w:numPr>
          <w:ilvl w:val="0"/>
          <w:numId w:val="12"/>
        </w:num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Encourage dialogue and collaboration among stakeholders to enhance transparency and accountability in the management of natural resources</w:t>
      </w:r>
    </w:p>
    <w:p w14:paraId="35965E47" w14:textId="77777777" w:rsidR="00423D65" w:rsidRPr="00B64E68" w:rsidRDefault="00423D65" w:rsidP="00423D65">
      <w:pPr>
        <w:spacing w:after="0" w:line="240" w:lineRule="auto"/>
        <w:jc w:val="both"/>
        <w:rPr>
          <w:rFonts w:ascii="Times New Roman" w:eastAsia="Times New Roman" w:hAnsi="Times New Roman" w:cs="Times New Roman"/>
          <w:b/>
          <w:bCs/>
          <w:sz w:val="24"/>
          <w:szCs w:val="24"/>
          <w:lang w:val="en-LR" w:eastAsia="en-LR"/>
        </w:rPr>
      </w:pPr>
    </w:p>
    <w:p w14:paraId="64ABAA4C"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In her keynote address, Director General Marilyn T. Logan underscored the critical role of BO Transparency in managing Liberia's natural resources. She noted that the discovery and management of petroleum resources present both opportunities and challenges. Logan emphasized that transparency is essential to ensure that these resources are developed in a manner that benefits all Liberians. She stated, "In Liberia, our journey in the petroleum sector has been guided by a commitment to ensuring that these resources are developed in a manner that benefits all Liberians. However, for this to be possible, transparency must be at the core of our operations."</w:t>
      </w:r>
    </w:p>
    <w:p w14:paraId="28B12404"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p>
    <w:p w14:paraId="2EBF7157" w14:textId="45EAEE90"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Madam Logan further explained that by ensuring the true owners of companies operating in the country are known, Liberia can prevent the misuse of resources and promote accountability. She lauded </w:t>
      </w:r>
      <w:r w:rsidR="00614380">
        <w:rPr>
          <w:rFonts w:ascii="Times New Roman" w:eastAsia="Times New Roman" w:hAnsi="Times New Roman" w:cs="Times New Roman"/>
          <w:sz w:val="24"/>
          <w:szCs w:val="24"/>
          <w:lang w:val="en-LR" w:eastAsia="en-LR"/>
        </w:rPr>
        <w:t>LEITI's efforts to establish</w:t>
      </w:r>
      <w:r w:rsidRPr="00B64E68">
        <w:rPr>
          <w:rFonts w:ascii="Times New Roman" w:eastAsia="Times New Roman" w:hAnsi="Times New Roman" w:cs="Times New Roman"/>
          <w:sz w:val="24"/>
          <w:szCs w:val="24"/>
          <w:lang w:val="en-LR" w:eastAsia="en-LR"/>
        </w:rPr>
        <w:t xml:space="preserve"> a Beneficial Ownership Regime in the country. Logan remarked, "The specific regulation we are discussing today, tailored to the oil and gas sector, does not diminish the foundational work that the LEITI has already accomplished. Instead, it builds on that solid foundation, reinforcing how critical Beneficial Ownership is for the good governance of our natural resources."</w:t>
      </w:r>
    </w:p>
    <w:p w14:paraId="016BDFD1" w14:textId="77777777" w:rsidR="00423D65" w:rsidRPr="00B64E68" w:rsidRDefault="00423D65" w:rsidP="00423D65">
      <w:pPr>
        <w:spacing w:after="0" w:line="240" w:lineRule="auto"/>
        <w:jc w:val="both"/>
        <w:rPr>
          <w:rFonts w:ascii="Times New Roman" w:eastAsia="Times New Roman" w:hAnsi="Times New Roman" w:cs="Times New Roman"/>
          <w:b/>
          <w:bCs/>
          <w:sz w:val="24"/>
          <w:szCs w:val="24"/>
          <w:lang w:val="en-LR" w:eastAsia="en-LR"/>
        </w:rPr>
      </w:pPr>
    </w:p>
    <w:p w14:paraId="2275F3CC"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workshop featured panel discussions and presentations from various stakeholders. Key topics included:</w:t>
      </w:r>
    </w:p>
    <w:p w14:paraId="2216ACA8" w14:textId="77777777" w:rsidR="00423D65" w:rsidRPr="00B64E68" w:rsidRDefault="00423D65" w:rsidP="00423D65">
      <w:pPr>
        <w:numPr>
          <w:ilvl w:val="0"/>
          <w:numId w:val="13"/>
        </w:num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current state of BO Transparency in Liberia</w:t>
      </w:r>
    </w:p>
    <w:p w14:paraId="5AEA7C50" w14:textId="77777777" w:rsidR="00423D65" w:rsidRPr="00B64E68" w:rsidRDefault="00423D65" w:rsidP="00423D65">
      <w:pPr>
        <w:numPr>
          <w:ilvl w:val="0"/>
          <w:numId w:val="13"/>
        </w:num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International best practices in BO Transparency and how they can be applied in Liberia</w:t>
      </w:r>
    </w:p>
    <w:p w14:paraId="70AFF1FF" w14:textId="77777777" w:rsidR="00423D65" w:rsidRPr="00B64E68" w:rsidRDefault="00423D65" w:rsidP="00423D65">
      <w:pPr>
        <w:numPr>
          <w:ilvl w:val="0"/>
          <w:numId w:val="13"/>
        </w:num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Challenges and opportunities in implementing BO Transparency in the oil and gas sector</w:t>
      </w:r>
    </w:p>
    <w:p w14:paraId="28E3BF92" w14:textId="77777777" w:rsidR="00423D65" w:rsidRPr="00B64E68" w:rsidRDefault="00423D65" w:rsidP="00423D65">
      <w:pPr>
        <w:spacing w:after="0" w:line="240" w:lineRule="auto"/>
        <w:jc w:val="both"/>
        <w:rPr>
          <w:rFonts w:ascii="Times New Roman" w:eastAsia="Times New Roman" w:hAnsi="Times New Roman" w:cs="Times New Roman"/>
          <w:b/>
          <w:bCs/>
          <w:sz w:val="24"/>
          <w:szCs w:val="24"/>
          <w:lang w:val="en-LR" w:eastAsia="en-LR"/>
        </w:rPr>
      </w:pPr>
    </w:p>
    <w:p w14:paraId="4439084C" w14:textId="2AF17219"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The Head </w:t>
      </w:r>
      <w:r w:rsidR="00614380">
        <w:rPr>
          <w:rFonts w:ascii="Times New Roman" w:eastAsia="Times New Roman" w:hAnsi="Times New Roman" w:cs="Times New Roman"/>
          <w:sz w:val="24"/>
          <w:szCs w:val="24"/>
          <w:lang w:val="en-LR" w:eastAsia="en-LR"/>
        </w:rPr>
        <w:t>of the LEITI Secretariat, Jeffrey N. Yates, provided an overview of Liberia's journey toward</w:t>
      </w:r>
      <w:r w:rsidRPr="00B64E68">
        <w:rPr>
          <w:rFonts w:ascii="Times New Roman" w:eastAsia="Times New Roman" w:hAnsi="Times New Roman" w:cs="Times New Roman"/>
          <w:sz w:val="24"/>
          <w:szCs w:val="24"/>
          <w:lang w:val="en-LR" w:eastAsia="en-LR"/>
        </w:rPr>
        <w:t xml:space="preserve"> BO Transparency. Yates highlighted </w:t>
      </w:r>
      <w:r w:rsidR="00614380">
        <w:rPr>
          <w:rFonts w:ascii="Times New Roman" w:eastAsia="Times New Roman" w:hAnsi="Times New Roman" w:cs="Times New Roman"/>
          <w:sz w:val="24"/>
          <w:szCs w:val="24"/>
          <w:lang w:val="en-LR" w:eastAsia="en-LR"/>
        </w:rPr>
        <w:t xml:space="preserve">LEITI's progress </w:t>
      </w:r>
      <w:r w:rsidRPr="00B64E68">
        <w:rPr>
          <w:rFonts w:ascii="Times New Roman" w:eastAsia="Times New Roman" w:hAnsi="Times New Roman" w:cs="Times New Roman"/>
          <w:sz w:val="24"/>
          <w:szCs w:val="24"/>
          <w:lang w:val="en-LR" w:eastAsia="en-LR"/>
        </w:rPr>
        <w:t xml:space="preserve">in promoting transparency and accountability in the extractive industries. He </w:t>
      </w:r>
      <w:r w:rsidR="00614380">
        <w:rPr>
          <w:rFonts w:ascii="Times New Roman" w:eastAsia="Times New Roman" w:hAnsi="Times New Roman" w:cs="Times New Roman"/>
          <w:sz w:val="24"/>
          <w:szCs w:val="24"/>
          <w:lang w:val="en-LR" w:eastAsia="en-LR"/>
        </w:rPr>
        <w:t>urged participants to engage in insightful discussions for the good of the country, emphasizing the importance of collaboration and collective action to achieve BO Transparency's goals</w:t>
      </w:r>
      <w:r w:rsidRPr="00B64E68">
        <w:rPr>
          <w:rFonts w:ascii="Times New Roman" w:eastAsia="Times New Roman" w:hAnsi="Times New Roman" w:cs="Times New Roman"/>
          <w:sz w:val="24"/>
          <w:szCs w:val="24"/>
          <w:lang w:val="en-LR" w:eastAsia="en-LR"/>
        </w:rPr>
        <w:t>.</w:t>
      </w:r>
    </w:p>
    <w:p w14:paraId="5B0037A8" w14:textId="77777777" w:rsidR="00423D65" w:rsidRPr="00B64E68" w:rsidRDefault="00423D65" w:rsidP="00423D65">
      <w:pPr>
        <w:spacing w:after="0" w:line="240" w:lineRule="auto"/>
        <w:jc w:val="both"/>
        <w:rPr>
          <w:rFonts w:ascii="Times New Roman" w:eastAsia="Times New Roman" w:hAnsi="Times New Roman" w:cs="Times New Roman"/>
          <w:b/>
          <w:bCs/>
          <w:sz w:val="24"/>
          <w:szCs w:val="24"/>
          <w:lang w:val="en-LR" w:eastAsia="en-LR"/>
        </w:rPr>
      </w:pPr>
    </w:p>
    <w:p w14:paraId="3263FF06"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hAnsi="Times New Roman" w:cs="Times New Roman"/>
          <w:noProof/>
          <w:sz w:val="24"/>
          <w:szCs w:val="24"/>
        </w:rPr>
        <w:lastRenderedPageBreak/>
        <mc:AlternateContent>
          <mc:Choice Requires="wps">
            <w:drawing>
              <wp:anchor distT="0" distB="0" distL="114300" distR="114300" simplePos="0" relativeHeight="251688960" behindDoc="1" locked="0" layoutInCell="1" allowOverlap="1" wp14:anchorId="16E33742" wp14:editId="25CB9899">
                <wp:simplePos x="0" y="0"/>
                <wp:positionH relativeFrom="column">
                  <wp:posOffset>3162300</wp:posOffset>
                </wp:positionH>
                <wp:positionV relativeFrom="paragraph">
                  <wp:posOffset>3100070</wp:posOffset>
                </wp:positionV>
                <wp:extent cx="2820035" cy="635"/>
                <wp:effectExtent l="0" t="0" r="0" b="0"/>
                <wp:wrapTight wrapText="bothSides">
                  <wp:wrapPolygon edited="0">
                    <wp:start x="0" y="0"/>
                    <wp:lineTo x="0" y="21600"/>
                    <wp:lineTo x="21600" y="21600"/>
                    <wp:lineTo x="21600" y="0"/>
                  </wp:wrapPolygon>
                </wp:wrapTight>
                <wp:docPr id="638949980" name="Text Box 1"/>
                <wp:cNvGraphicFramePr/>
                <a:graphic xmlns:a="http://schemas.openxmlformats.org/drawingml/2006/main">
                  <a:graphicData uri="http://schemas.microsoft.com/office/word/2010/wordprocessingShape">
                    <wps:wsp>
                      <wps:cNvSpPr txBox="1"/>
                      <wps:spPr>
                        <a:xfrm>
                          <a:off x="0" y="0"/>
                          <a:ext cx="2820035" cy="635"/>
                        </a:xfrm>
                        <a:prstGeom prst="rect">
                          <a:avLst/>
                        </a:prstGeom>
                        <a:solidFill>
                          <a:prstClr val="white"/>
                        </a:solidFill>
                        <a:ln>
                          <a:noFill/>
                        </a:ln>
                      </wps:spPr>
                      <wps:txbx>
                        <w:txbxContent>
                          <w:p w14:paraId="2F5E9B3A" w14:textId="77777777" w:rsidR="00423D65" w:rsidRPr="00127268" w:rsidRDefault="00423D65" w:rsidP="00423D65">
                            <w:pPr>
                              <w:pStyle w:val="Caption"/>
                              <w:rPr>
                                <w:b/>
                                <w:bCs/>
                                <w:noProof/>
                                <w:color w:val="auto"/>
                              </w:rPr>
                            </w:pPr>
                            <w:r w:rsidRPr="00127268">
                              <w:rPr>
                                <w:b/>
                                <w:bCs/>
                                <w:color w:val="auto"/>
                              </w:rPr>
                              <w:t xml:space="preserve">Madam Marilyn Logan of LPRA flanked by </w:t>
                            </w:r>
                            <w:proofErr w:type="spellStart"/>
                            <w:r w:rsidRPr="00127268">
                              <w:rPr>
                                <w:b/>
                                <w:bCs/>
                                <w:color w:val="auto"/>
                              </w:rPr>
                              <w:t>HoS</w:t>
                            </w:r>
                            <w:proofErr w:type="spellEnd"/>
                            <w:r w:rsidRPr="00127268">
                              <w:rPr>
                                <w:b/>
                                <w:bCs/>
                                <w:color w:val="auto"/>
                              </w:rPr>
                              <w:t xml:space="preserve"> Jeffrey N. Yates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33742" id="_x0000_s1034" type="#_x0000_t202" style="position:absolute;left:0;text-align:left;margin-left:249pt;margin-top:244.1pt;width:222.0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" stroked="f">
                <v:textbox style="mso-fit-shape-to-text:t" inset="0,0,0,0">
                  <w:txbxContent>
                    <w:p w14:paraId="2F5E9B3A" w14:textId="77777777" w:rsidR="00423D65" w:rsidRPr="00127268" w:rsidRDefault="00423D65" w:rsidP="00423D65">
                      <w:pPr>
                        <w:pStyle w:val="Caption"/>
                        <w:rPr>
                          <w:b/>
                          <w:bCs/>
                          <w:noProof/>
                          <w:color w:val="auto"/>
                        </w:rPr>
                      </w:pPr>
                      <w:r w:rsidRPr="00127268">
                        <w:rPr>
                          <w:b/>
                          <w:bCs/>
                          <w:color w:val="auto"/>
                        </w:rPr>
                        <w:t xml:space="preserve">Madam Marilyn Logan of LPRA flanked by </w:t>
                      </w:r>
                      <w:proofErr w:type="spellStart"/>
                      <w:r w:rsidRPr="00127268">
                        <w:rPr>
                          <w:b/>
                          <w:bCs/>
                          <w:color w:val="auto"/>
                        </w:rPr>
                        <w:t>HoS</w:t>
                      </w:r>
                      <w:proofErr w:type="spellEnd"/>
                      <w:r w:rsidRPr="00127268">
                        <w:rPr>
                          <w:b/>
                          <w:bCs/>
                          <w:color w:val="auto"/>
                        </w:rPr>
                        <w:t xml:space="preserve"> Jeffrey N. Yates</w:t>
                      </w:r>
                    </w:p>
                  </w:txbxContent>
                </v:textbox>
                <w10:wrap type="tight"/>
              </v:shape>
            </w:pict>
          </mc:Fallback>
        </mc:AlternateContent>
      </w:r>
      <w:r w:rsidRPr="00B64E68">
        <w:rPr>
          <w:rFonts w:ascii="Times New Roman" w:hAnsi="Times New Roman" w:cs="Times New Roman"/>
          <w:noProof/>
          <w:sz w:val="24"/>
          <w:szCs w:val="24"/>
        </w:rPr>
        <w:drawing>
          <wp:anchor distT="0" distB="0" distL="114300" distR="114300" simplePos="0" relativeHeight="251685888" behindDoc="1" locked="0" layoutInCell="1" allowOverlap="1" wp14:anchorId="0EA9F336" wp14:editId="28E418FD">
            <wp:simplePos x="0" y="0"/>
            <wp:positionH relativeFrom="column">
              <wp:posOffset>3162300</wp:posOffset>
            </wp:positionH>
            <wp:positionV relativeFrom="paragraph">
              <wp:posOffset>928370</wp:posOffset>
            </wp:positionV>
            <wp:extent cx="2820035" cy="2114550"/>
            <wp:effectExtent l="0" t="0" r="0" b="0"/>
            <wp:wrapTight wrapText="bothSides">
              <wp:wrapPolygon edited="0">
                <wp:start x="0" y="0"/>
                <wp:lineTo x="0" y="21405"/>
                <wp:lineTo x="21449" y="21405"/>
                <wp:lineTo x="21449" y="0"/>
                <wp:lineTo x="0" y="0"/>
              </wp:wrapPolygon>
            </wp:wrapTight>
            <wp:docPr id="15491849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14:anchorId="519F687E" wp14:editId="6B7887A8">
                <wp:simplePos x="0" y="0"/>
                <wp:positionH relativeFrom="column">
                  <wp:posOffset>0</wp:posOffset>
                </wp:positionH>
                <wp:positionV relativeFrom="paragraph">
                  <wp:posOffset>3101340</wp:posOffset>
                </wp:positionV>
                <wp:extent cx="3060700" cy="635"/>
                <wp:effectExtent l="0" t="0" r="0" b="0"/>
                <wp:wrapTight wrapText="bothSides">
                  <wp:wrapPolygon edited="0">
                    <wp:start x="0" y="0"/>
                    <wp:lineTo x="0" y="21600"/>
                    <wp:lineTo x="21600" y="21600"/>
                    <wp:lineTo x="21600" y="0"/>
                  </wp:wrapPolygon>
                </wp:wrapTight>
                <wp:docPr id="684747933" name="Text Box 1"/>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4FA65A50" w14:textId="77777777" w:rsidR="00423D65" w:rsidRPr="00127268" w:rsidRDefault="00423D65" w:rsidP="00423D65">
                            <w:pPr>
                              <w:pStyle w:val="Caption"/>
                              <w:rPr>
                                <w:b/>
                                <w:bCs/>
                                <w:noProof/>
                                <w:color w:val="auto"/>
                              </w:rPr>
                            </w:pPr>
                            <w:r w:rsidRPr="00127268">
                              <w:rPr>
                                <w:b/>
                                <w:bCs/>
                                <w:color w:val="auto"/>
                              </w:rPr>
                              <w:t>Various stakeholders posed for the press after the daylong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F687E" id="_x0000_s1035" type="#_x0000_t202" style="position:absolute;left:0;text-align:left;margin-left:0;margin-top:244.2pt;width:241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" stroked="f">
                <v:textbox style="mso-fit-shape-to-text:t" inset="0,0,0,0">
                  <w:txbxContent>
                    <w:p w14:paraId="4FA65A50" w14:textId="77777777" w:rsidR="00423D65" w:rsidRPr="00127268" w:rsidRDefault="00423D65" w:rsidP="00423D65">
                      <w:pPr>
                        <w:pStyle w:val="Caption"/>
                        <w:rPr>
                          <w:b/>
                          <w:bCs/>
                          <w:noProof/>
                          <w:color w:val="auto"/>
                        </w:rPr>
                      </w:pPr>
                      <w:r w:rsidRPr="00127268">
                        <w:rPr>
                          <w:b/>
                          <w:bCs/>
                          <w:color w:val="auto"/>
                        </w:rPr>
                        <w:t>Various stakeholders posed for the press after the daylong event</w:t>
                      </w:r>
                    </w:p>
                  </w:txbxContent>
                </v:textbox>
                <w10:wrap type="tight"/>
              </v:shape>
            </w:pict>
          </mc:Fallback>
        </mc:AlternateContent>
      </w:r>
      <w:r w:rsidRPr="00B64E68">
        <w:rPr>
          <w:rFonts w:ascii="Times New Roman" w:hAnsi="Times New Roman" w:cs="Times New Roman"/>
          <w:noProof/>
          <w:sz w:val="24"/>
          <w:szCs w:val="24"/>
        </w:rPr>
        <w:drawing>
          <wp:anchor distT="0" distB="0" distL="114300" distR="114300" simplePos="0" relativeHeight="251686912" behindDoc="1" locked="0" layoutInCell="1" allowOverlap="1" wp14:anchorId="09F928BA" wp14:editId="369C223D">
            <wp:simplePos x="0" y="0"/>
            <wp:positionH relativeFrom="margin">
              <wp:align>left</wp:align>
            </wp:positionH>
            <wp:positionV relativeFrom="paragraph">
              <wp:posOffset>929005</wp:posOffset>
            </wp:positionV>
            <wp:extent cx="3060700" cy="2115185"/>
            <wp:effectExtent l="0" t="0" r="6350" b="0"/>
            <wp:wrapTight wrapText="bothSides">
              <wp:wrapPolygon edited="0">
                <wp:start x="0" y="0"/>
                <wp:lineTo x="0" y="21399"/>
                <wp:lineTo x="21510" y="21399"/>
                <wp:lineTo x="21510" y="0"/>
                <wp:lineTo x="0" y="0"/>
              </wp:wrapPolygon>
            </wp:wrapTight>
            <wp:docPr id="3764170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070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eastAsia="Times New Roman" w:hAnsi="Times New Roman" w:cs="Times New Roman"/>
          <w:sz w:val="24"/>
          <w:szCs w:val="24"/>
          <w:lang w:val="en-LR" w:eastAsia="en-LR"/>
        </w:rPr>
        <w:t>The workshop emphasized the need for continuous engagement and collaboration among stakeholders. Participants were encouraged to share their experiences, insights, and challenges in implementing BO Transparency. The discussions highlighted the importance of a coordinated approach to ensure that the true owners of companies operating in Liberia are identified and held accountable.</w:t>
      </w:r>
    </w:p>
    <w:p w14:paraId="413B5E99" w14:textId="77777777" w:rsidR="00423D65" w:rsidRPr="00B64E68" w:rsidRDefault="00423D65" w:rsidP="00423D65">
      <w:pPr>
        <w:spacing w:after="0" w:line="240" w:lineRule="auto"/>
        <w:jc w:val="both"/>
        <w:rPr>
          <w:rFonts w:ascii="Times New Roman" w:eastAsia="Times New Roman" w:hAnsi="Times New Roman" w:cs="Times New Roman"/>
          <w:sz w:val="24"/>
          <w:szCs w:val="24"/>
          <w:lang w:eastAsia="en-LR"/>
        </w:rPr>
      </w:pPr>
    </w:p>
    <w:p w14:paraId="1DA8F01F" w14:textId="2B7F1696" w:rsidR="00423D65" w:rsidRPr="00B64E68" w:rsidRDefault="00423D65" w:rsidP="00423D65">
      <w:pPr>
        <w:spacing w:after="0" w:line="240" w:lineRule="auto"/>
        <w:jc w:val="both"/>
        <w:rPr>
          <w:rFonts w:ascii="Times New Roman" w:eastAsia="Times New Roman" w:hAnsi="Times New Roman" w:cs="Times New Roman"/>
          <w:b/>
          <w:bCs/>
          <w:sz w:val="24"/>
          <w:szCs w:val="24"/>
          <w:lang w:val="en-LR" w:eastAsia="en-LR"/>
        </w:rPr>
      </w:pPr>
      <w:r w:rsidRPr="00B64E68">
        <w:rPr>
          <w:rFonts w:ascii="Times New Roman" w:eastAsia="Times New Roman" w:hAnsi="Times New Roman" w:cs="Times New Roman"/>
          <w:b/>
          <w:bCs/>
          <w:sz w:val="24"/>
          <w:szCs w:val="24"/>
          <w:lang w:val="en-LR" w:eastAsia="en-LR"/>
        </w:rPr>
        <w:t xml:space="preserve">Workplan Development </w:t>
      </w:r>
      <w:r w:rsidR="00614380" w:rsidRPr="00B64E68">
        <w:rPr>
          <w:rFonts w:ascii="Times New Roman" w:eastAsia="Times New Roman" w:hAnsi="Times New Roman" w:cs="Times New Roman"/>
          <w:b/>
          <w:bCs/>
          <w:sz w:val="24"/>
          <w:szCs w:val="24"/>
          <w:lang w:val="en-LR" w:eastAsia="en-LR"/>
        </w:rPr>
        <w:t>with</w:t>
      </w:r>
      <w:r w:rsidRPr="00B64E68">
        <w:rPr>
          <w:rFonts w:ascii="Times New Roman" w:eastAsia="Times New Roman" w:hAnsi="Times New Roman" w:cs="Times New Roman"/>
          <w:b/>
          <w:bCs/>
          <w:sz w:val="24"/>
          <w:szCs w:val="24"/>
          <w:lang w:val="en-LR" w:eastAsia="en-LR"/>
        </w:rPr>
        <w:t xml:space="preserve"> Broader Constituency Outside of the MSG</w:t>
      </w:r>
    </w:p>
    <w:p w14:paraId="7510953F" w14:textId="7CC5D115"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Beginning May 5, 2024, the Liberia Extractive Industries Transparency Initiative (LEITI) Secretariat </w:t>
      </w:r>
      <w:r w:rsidR="00614380">
        <w:rPr>
          <w:rFonts w:ascii="Times New Roman" w:eastAsia="Times New Roman" w:hAnsi="Times New Roman" w:cs="Times New Roman"/>
          <w:sz w:val="24"/>
          <w:szCs w:val="24"/>
          <w:lang w:val="en-LR" w:eastAsia="en-LR"/>
        </w:rPr>
        <w:t xml:space="preserve">launched an inclusive, participatory process to gather input for </w:t>
      </w:r>
      <w:r w:rsidRPr="00B64E68">
        <w:rPr>
          <w:rFonts w:ascii="Times New Roman" w:eastAsia="Times New Roman" w:hAnsi="Times New Roman" w:cs="Times New Roman"/>
          <w:sz w:val="24"/>
          <w:szCs w:val="24"/>
          <w:lang w:val="en-LR" w:eastAsia="en-LR"/>
        </w:rPr>
        <w:t>Liberia’s 2024-2025 EITI workplan. Recognizing the importance of engaging stakeholders beyond the Multi-Stakeholder Group (MSG), the Secretariat initiated consultations with broader constituencies</w:t>
      </w:r>
      <w:r w:rsidR="00614380">
        <w:rPr>
          <w:rFonts w:ascii="Times New Roman" w:eastAsia="Times New Roman" w:hAnsi="Times New Roman" w:cs="Times New Roman"/>
          <w:sz w:val="24"/>
          <w:szCs w:val="24"/>
          <w:lang w:val="en-LR" w:eastAsia="en-LR"/>
        </w:rPr>
        <w:t xml:space="preserve"> to ensure the workplan reflects a holistic,</w:t>
      </w:r>
      <w:r w:rsidRPr="00B64E68">
        <w:rPr>
          <w:rFonts w:ascii="Times New Roman" w:eastAsia="Times New Roman" w:hAnsi="Times New Roman" w:cs="Times New Roman"/>
          <w:sz w:val="24"/>
          <w:szCs w:val="24"/>
          <w:lang w:val="en-LR" w:eastAsia="en-LR"/>
        </w:rPr>
        <w:t xml:space="preserve"> comprehensive approach to transparency, accountability, and governance in the extractive sector.</w:t>
      </w:r>
    </w:p>
    <w:p w14:paraId="183A96BD"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p>
    <w:p w14:paraId="1AB58616" w14:textId="3A7CD0A6"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first phase of this process focused on engaging civil society organizations (</w:t>
      </w:r>
      <w:proofErr w:type="spellStart"/>
      <w:r w:rsidRPr="00B64E68">
        <w:rPr>
          <w:rFonts w:ascii="Times New Roman" w:eastAsia="Times New Roman" w:hAnsi="Times New Roman" w:cs="Times New Roman"/>
          <w:sz w:val="24"/>
          <w:szCs w:val="24"/>
          <w:lang w:val="en-LR" w:eastAsia="en-LR"/>
        </w:rPr>
        <w:t>CSOs</w:t>
      </w:r>
      <w:proofErr w:type="spellEnd"/>
      <w:r w:rsidRPr="00B64E68">
        <w:rPr>
          <w:rFonts w:ascii="Times New Roman" w:eastAsia="Times New Roman" w:hAnsi="Times New Roman" w:cs="Times New Roman"/>
          <w:sz w:val="24"/>
          <w:szCs w:val="24"/>
          <w:lang w:val="en-LR" w:eastAsia="en-LR"/>
        </w:rPr>
        <w:t xml:space="preserve">) outside of the MSG framework. On May 5, 2024, a one-day workshop brought together representatives from 15 civil society organizations. These organizations, although not directly part of the MSG, play a critical role in promoting transparency and accountability in </w:t>
      </w:r>
      <w:r w:rsidR="00614380">
        <w:rPr>
          <w:rFonts w:ascii="Times New Roman" w:eastAsia="Times New Roman" w:hAnsi="Times New Roman" w:cs="Times New Roman"/>
          <w:sz w:val="24"/>
          <w:szCs w:val="24"/>
          <w:lang w:val="en-LR" w:eastAsia="en-LR"/>
        </w:rPr>
        <w:t>natural resource governance</w:t>
      </w:r>
      <w:r w:rsidRPr="00B64E68">
        <w:rPr>
          <w:rFonts w:ascii="Times New Roman" w:eastAsia="Times New Roman" w:hAnsi="Times New Roman" w:cs="Times New Roman"/>
          <w:sz w:val="24"/>
          <w:szCs w:val="24"/>
          <w:lang w:val="en-LR" w:eastAsia="en-LR"/>
        </w:rPr>
        <w:t xml:space="preserve">. During the workshop, participants conducted a thorough review of the draft workplan and </w:t>
      </w:r>
      <w:r w:rsidR="00614380">
        <w:rPr>
          <w:rFonts w:ascii="Times New Roman" w:eastAsia="Times New Roman" w:hAnsi="Times New Roman" w:cs="Times New Roman"/>
          <w:sz w:val="24"/>
          <w:szCs w:val="24"/>
          <w:lang w:val="en-LR" w:eastAsia="en-LR"/>
        </w:rPr>
        <w:t>offered insightful contributions to strengthen</w:t>
      </w:r>
      <w:r w:rsidRPr="00B64E68">
        <w:rPr>
          <w:rFonts w:ascii="Times New Roman" w:eastAsia="Times New Roman" w:hAnsi="Times New Roman" w:cs="Times New Roman"/>
          <w:sz w:val="24"/>
          <w:szCs w:val="24"/>
          <w:lang w:val="en-LR" w:eastAsia="en-LR"/>
        </w:rPr>
        <w:t xml:space="preserve"> the document. Key inputs included recommendations </w:t>
      </w:r>
      <w:r w:rsidR="00614380">
        <w:rPr>
          <w:rFonts w:ascii="Times New Roman" w:eastAsia="Times New Roman" w:hAnsi="Times New Roman" w:cs="Times New Roman"/>
          <w:sz w:val="24"/>
          <w:szCs w:val="24"/>
          <w:lang w:val="en-LR" w:eastAsia="en-LR"/>
        </w:rPr>
        <w:t>to increase budget allocations, strengthen sustainability measures, and integrate mechanisms to improve the</w:t>
      </w:r>
      <w:r w:rsidRPr="00B64E68">
        <w:rPr>
          <w:rFonts w:ascii="Times New Roman" w:eastAsia="Times New Roman" w:hAnsi="Times New Roman" w:cs="Times New Roman"/>
          <w:sz w:val="24"/>
          <w:szCs w:val="24"/>
          <w:lang w:val="en-LR" w:eastAsia="en-LR"/>
        </w:rPr>
        <w:t xml:space="preserve"> dissemination of Liberia’s EITI Reports. Participants underscored the importance of leveraging an </w:t>
      </w:r>
      <w:r w:rsidR="00614380">
        <w:rPr>
          <w:rFonts w:ascii="Times New Roman" w:eastAsia="Times New Roman" w:hAnsi="Times New Roman" w:cs="Times New Roman"/>
          <w:sz w:val="24"/>
          <w:szCs w:val="24"/>
          <w:lang w:val="en-LR" w:eastAsia="en-LR"/>
        </w:rPr>
        <w:t>interagency approach to reporting and</w:t>
      </w:r>
      <w:r w:rsidRPr="00B64E68">
        <w:rPr>
          <w:rFonts w:ascii="Times New Roman" w:eastAsia="Times New Roman" w:hAnsi="Times New Roman" w:cs="Times New Roman"/>
          <w:sz w:val="24"/>
          <w:szCs w:val="24"/>
          <w:lang w:val="en-LR" w:eastAsia="en-LR"/>
        </w:rPr>
        <w:t xml:space="preserve"> dissemination, emphasizing that collaboration among government agencies could enhance public awareness and understanding of the country’s extractive sector.</w:t>
      </w:r>
    </w:p>
    <w:p w14:paraId="40E5C106"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p>
    <w:p w14:paraId="492AE483" w14:textId="4B989076"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Following the civil society consultations, the Secretariat replicated this engagement with government and industry representatives on May 16, 2024. This session provided a platform for stakeholders within the government’s constituency, but outside of the MSG, to review, discuss, and contribute to the draft workplan. These consultations </w:t>
      </w:r>
      <w:r w:rsidR="00614380">
        <w:rPr>
          <w:rFonts w:ascii="Times New Roman" w:eastAsia="Times New Roman" w:hAnsi="Times New Roman" w:cs="Times New Roman"/>
          <w:sz w:val="24"/>
          <w:szCs w:val="24"/>
          <w:lang w:val="en-LR" w:eastAsia="en-LR"/>
        </w:rPr>
        <w:t>brought diverse perspectives, enriching the work plan with practical,</w:t>
      </w:r>
      <w:r w:rsidRPr="00B64E68">
        <w:rPr>
          <w:rFonts w:ascii="Times New Roman" w:eastAsia="Times New Roman" w:hAnsi="Times New Roman" w:cs="Times New Roman"/>
          <w:sz w:val="24"/>
          <w:szCs w:val="24"/>
          <w:lang w:val="en-LR" w:eastAsia="en-LR"/>
        </w:rPr>
        <w:t xml:space="preserve"> actionable insights. Key discussions </w:t>
      </w:r>
      <w:r w:rsidR="00614380">
        <w:rPr>
          <w:rFonts w:ascii="Times New Roman" w:eastAsia="Times New Roman" w:hAnsi="Times New Roman" w:cs="Times New Roman"/>
          <w:sz w:val="24"/>
          <w:szCs w:val="24"/>
          <w:lang w:val="en-LR" w:eastAsia="en-LR"/>
        </w:rPr>
        <w:t xml:space="preserve">focused on securing sufficient </w:t>
      </w:r>
      <w:r w:rsidR="00614380">
        <w:rPr>
          <w:rFonts w:ascii="Times New Roman" w:eastAsia="Times New Roman" w:hAnsi="Times New Roman" w:cs="Times New Roman"/>
          <w:sz w:val="24"/>
          <w:szCs w:val="24"/>
          <w:lang w:val="en-LR" w:eastAsia="en-LR"/>
        </w:rPr>
        <w:lastRenderedPageBreak/>
        <w:t>budgetary support for LEITI’s activities and on exploring strategies to sustain transparency initiatives over</w:t>
      </w:r>
      <w:r w:rsidRPr="00B64E68">
        <w:rPr>
          <w:rFonts w:ascii="Times New Roman" w:eastAsia="Times New Roman" w:hAnsi="Times New Roman" w:cs="Times New Roman"/>
          <w:sz w:val="24"/>
          <w:szCs w:val="24"/>
          <w:lang w:val="en-LR" w:eastAsia="en-LR"/>
        </w:rPr>
        <w:t xml:space="preserve"> the long term. Participants also highlighted the need for stronger collaboration between LEITI and other government institutions </w:t>
      </w:r>
      <w:r w:rsidR="00614380">
        <w:rPr>
          <w:rFonts w:ascii="Times New Roman" w:eastAsia="Times New Roman" w:hAnsi="Times New Roman" w:cs="Times New Roman"/>
          <w:sz w:val="24"/>
          <w:szCs w:val="24"/>
          <w:lang w:val="en-LR" w:eastAsia="en-LR"/>
        </w:rPr>
        <w:t>to implement the workplan’s objectives better</w:t>
      </w:r>
      <w:r w:rsidRPr="00B64E68">
        <w:rPr>
          <w:rFonts w:ascii="Times New Roman" w:eastAsia="Times New Roman" w:hAnsi="Times New Roman" w:cs="Times New Roman"/>
          <w:sz w:val="24"/>
          <w:szCs w:val="24"/>
          <w:lang w:val="en-LR" w:eastAsia="en-LR"/>
        </w:rPr>
        <w:t>.</w:t>
      </w:r>
    </w:p>
    <w:p w14:paraId="0D8D4D8F"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p>
    <w:p w14:paraId="00E523DF"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At the opening of each working session, the Deputy Head of the LEITI Secretariat, Zaza </w:t>
      </w:r>
      <w:proofErr w:type="spellStart"/>
      <w:r w:rsidRPr="00B64E68">
        <w:rPr>
          <w:rFonts w:ascii="Times New Roman" w:eastAsia="Times New Roman" w:hAnsi="Times New Roman" w:cs="Times New Roman"/>
          <w:sz w:val="24"/>
          <w:szCs w:val="24"/>
          <w:lang w:val="en-LR" w:eastAsia="en-LR"/>
        </w:rPr>
        <w:t>Quaqua</w:t>
      </w:r>
      <w:proofErr w:type="spellEnd"/>
      <w:r w:rsidRPr="00B64E68">
        <w:rPr>
          <w:rFonts w:ascii="Times New Roman" w:eastAsia="Times New Roman" w:hAnsi="Times New Roman" w:cs="Times New Roman"/>
          <w:sz w:val="24"/>
          <w:szCs w:val="24"/>
          <w:lang w:val="en-LR" w:eastAsia="en-LR"/>
        </w:rPr>
        <w:t xml:space="preserve">, encouraged participants to engage as free thinkers and active contributors, emphasizing that their input is essential for better and more transparent management of Liberia’s natural resources. Mr. </w:t>
      </w:r>
      <w:proofErr w:type="spellStart"/>
      <w:r w:rsidRPr="00B64E68">
        <w:rPr>
          <w:rFonts w:ascii="Times New Roman" w:eastAsia="Times New Roman" w:hAnsi="Times New Roman" w:cs="Times New Roman"/>
          <w:sz w:val="24"/>
          <w:szCs w:val="24"/>
          <w:lang w:val="en-LR" w:eastAsia="en-LR"/>
        </w:rPr>
        <w:t>Quaqua’s</w:t>
      </w:r>
      <w:proofErr w:type="spellEnd"/>
      <w:r w:rsidRPr="00B64E68">
        <w:rPr>
          <w:rFonts w:ascii="Times New Roman" w:eastAsia="Times New Roman" w:hAnsi="Times New Roman" w:cs="Times New Roman"/>
          <w:sz w:val="24"/>
          <w:szCs w:val="24"/>
          <w:lang w:val="en-LR" w:eastAsia="en-LR"/>
        </w:rPr>
        <w:t xml:space="preserve"> remarks set the tone for open and constructive dialogue, fostering an environment where participants felt empowered to share their ideas and concerns.</w:t>
      </w:r>
    </w:p>
    <w:p w14:paraId="719DC8F9" w14:textId="77777777"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p>
    <w:p w14:paraId="4D33E3AE" w14:textId="2645CB60" w:rsidR="00423D65"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The Secretariat’s commitment to inclusivity and stakeholder engagement aligns with the core principles of the EITI Standard, which emphasize transparency, accountability, and collaboration. By involving stakeholders beyond the MSG, LEITI ensures </w:t>
      </w:r>
      <w:r w:rsidR="00614380">
        <w:rPr>
          <w:rFonts w:ascii="Times New Roman" w:eastAsia="Times New Roman" w:hAnsi="Times New Roman" w:cs="Times New Roman"/>
          <w:sz w:val="24"/>
          <w:szCs w:val="24"/>
          <w:lang w:val="en-LR" w:eastAsia="en-LR"/>
        </w:rPr>
        <w:t xml:space="preserve">the workplan addresses the needs and priorities of a broader constituency, fostering </w:t>
      </w:r>
      <w:r w:rsidRPr="00B64E68">
        <w:rPr>
          <w:rFonts w:ascii="Times New Roman" w:eastAsia="Times New Roman" w:hAnsi="Times New Roman" w:cs="Times New Roman"/>
          <w:sz w:val="24"/>
          <w:szCs w:val="24"/>
          <w:lang w:val="en-LR" w:eastAsia="en-LR"/>
        </w:rPr>
        <w:t>ownership and shared responsibility for its implementation.</w:t>
      </w:r>
    </w:p>
    <w:p w14:paraId="6667C295" w14:textId="77777777" w:rsidR="00614380" w:rsidRPr="00B64E68" w:rsidRDefault="00614380" w:rsidP="00423D65">
      <w:pPr>
        <w:spacing w:after="0" w:line="240" w:lineRule="auto"/>
        <w:jc w:val="both"/>
        <w:rPr>
          <w:rFonts w:ascii="Times New Roman" w:eastAsia="Times New Roman" w:hAnsi="Times New Roman" w:cs="Times New Roman"/>
          <w:sz w:val="24"/>
          <w:szCs w:val="24"/>
          <w:lang w:val="en-LR" w:eastAsia="en-LR"/>
        </w:rPr>
      </w:pPr>
    </w:p>
    <w:p w14:paraId="5AB26CE4" w14:textId="3EB5B77C" w:rsidR="00423D65"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Following the consultations with civil society, government, and industry stakeholders, the Secretariat compiled the various inputs into a consolidated draft workplan. This draft will be presented to the </w:t>
      </w:r>
      <w:r w:rsidR="00614380">
        <w:rPr>
          <w:rFonts w:ascii="Times New Roman" w:eastAsia="Times New Roman" w:hAnsi="Times New Roman" w:cs="Times New Roman"/>
          <w:sz w:val="24"/>
          <w:szCs w:val="24"/>
          <w:lang w:val="en-LR" w:eastAsia="en-LR"/>
        </w:rPr>
        <w:t>whole</w:t>
      </w:r>
      <w:r w:rsidRPr="00B64E68">
        <w:rPr>
          <w:rFonts w:ascii="Times New Roman" w:eastAsia="Times New Roman" w:hAnsi="Times New Roman" w:cs="Times New Roman"/>
          <w:sz w:val="24"/>
          <w:szCs w:val="24"/>
          <w:lang w:val="en-LR" w:eastAsia="en-LR"/>
        </w:rPr>
        <w:t xml:space="preserve"> MSG for review, finalization, and subsequent approval. The MSG’s approval process will provide an additional layer of scrutiny, ensuring that the workplan meets the highest standards of transparency and accountability.</w:t>
      </w:r>
    </w:p>
    <w:p w14:paraId="71556FDF" w14:textId="77777777" w:rsidR="00614380" w:rsidRPr="00B64E68" w:rsidRDefault="00614380" w:rsidP="00423D65">
      <w:pPr>
        <w:spacing w:after="0" w:line="240" w:lineRule="auto"/>
        <w:jc w:val="both"/>
        <w:rPr>
          <w:rFonts w:ascii="Times New Roman" w:eastAsia="Times New Roman" w:hAnsi="Times New Roman" w:cs="Times New Roman"/>
          <w:sz w:val="24"/>
          <w:szCs w:val="24"/>
          <w:lang w:val="en-LR" w:eastAsia="en-LR"/>
        </w:rPr>
      </w:pPr>
    </w:p>
    <w:p w14:paraId="0A084923" w14:textId="4BA8AC89" w:rsidR="00423D65" w:rsidRPr="00B64E68" w:rsidRDefault="00423D65" w:rsidP="00423D65">
      <w:pPr>
        <w:spacing w:after="0" w:line="240" w:lineRule="auto"/>
        <w:jc w:val="both"/>
        <w:rPr>
          <w:rFonts w:ascii="Times New Roman" w:eastAsia="Times New Roman" w:hAnsi="Times New Roman" w:cs="Times New Roman"/>
          <w:sz w:val="24"/>
          <w:szCs w:val="24"/>
          <w:lang w:val="en-LR" w:eastAsia="en-LR"/>
        </w:rPr>
      </w:pPr>
      <w:r w:rsidRPr="00B64E68">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1EDA609E" wp14:editId="3AB95ACD">
                <wp:simplePos x="0" y="0"/>
                <wp:positionH relativeFrom="margin">
                  <wp:align>left</wp:align>
                </wp:positionH>
                <wp:positionV relativeFrom="paragraph">
                  <wp:posOffset>3648075</wp:posOffset>
                </wp:positionV>
                <wp:extent cx="2070100" cy="635"/>
                <wp:effectExtent l="0" t="0" r="6350" b="0"/>
                <wp:wrapTight wrapText="bothSides">
                  <wp:wrapPolygon edited="0">
                    <wp:start x="0" y="0"/>
                    <wp:lineTo x="0" y="20282"/>
                    <wp:lineTo x="21467" y="20282"/>
                    <wp:lineTo x="21467" y="0"/>
                    <wp:lineTo x="0" y="0"/>
                  </wp:wrapPolygon>
                </wp:wrapTight>
                <wp:docPr id="904932458" name="Text Box 1"/>
                <wp:cNvGraphicFramePr/>
                <a:graphic xmlns:a="http://schemas.openxmlformats.org/drawingml/2006/main">
                  <a:graphicData uri="http://schemas.microsoft.com/office/word/2010/wordprocessingShape">
                    <wps:wsp>
                      <wps:cNvSpPr txBox="1"/>
                      <wps:spPr>
                        <a:xfrm>
                          <a:off x="0" y="0"/>
                          <a:ext cx="2070100" cy="635"/>
                        </a:xfrm>
                        <a:prstGeom prst="rect">
                          <a:avLst/>
                        </a:prstGeom>
                        <a:solidFill>
                          <a:prstClr val="white"/>
                        </a:solidFill>
                        <a:ln>
                          <a:noFill/>
                        </a:ln>
                      </wps:spPr>
                      <wps:txbx>
                        <w:txbxContent>
                          <w:p w14:paraId="234434E0" w14:textId="77777777" w:rsidR="00423D65" w:rsidRPr="00B02C06" w:rsidRDefault="00423D65" w:rsidP="00423D65">
                            <w:pPr>
                              <w:pStyle w:val="Caption"/>
                              <w:rPr>
                                <w:rFonts w:ascii="Gill Sans MT" w:hAnsi="Gill Sans MT"/>
                                <w:b/>
                                <w:bCs/>
                                <w:noProof/>
                                <w:color w:val="auto"/>
                              </w:rPr>
                            </w:pPr>
                            <w:r w:rsidRPr="00B02C06">
                              <w:rPr>
                                <w:rFonts w:ascii="Gill Sans MT" w:hAnsi="Gill Sans MT"/>
                                <w:b/>
                                <w:bCs/>
                                <w:color w:val="auto"/>
                              </w:rPr>
                              <w:t xml:space="preserve">DHOS Zaza Y. </w:t>
                            </w:r>
                            <w:proofErr w:type="spellStart"/>
                            <w:r w:rsidRPr="00B02C06">
                              <w:rPr>
                                <w:rFonts w:ascii="Gill Sans MT" w:hAnsi="Gill Sans MT"/>
                                <w:b/>
                                <w:bCs/>
                                <w:color w:val="auto"/>
                              </w:rPr>
                              <w:t>Quaqua</w:t>
                            </w:r>
                            <w:proofErr w:type="spellEnd"/>
                            <w:r w:rsidRPr="00B02C06">
                              <w:rPr>
                                <w:rFonts w:ascii="Gill Sans MT" w:hAnsi="Gill Sans MT"/>
                                <w:b/>
                                <w:bCs/>
                                <w:color w:val="auto"/>
                              </w:rPr>
                              <w:t xml:space="preserve"> addressing one of the working sessions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A609E" id="_x0000_s1036" type="#_x0000_t202" style="position:absolute;left:0;text-align:left;margin-left:0;margin-top:287.25pt;width:163pt;height:.05pt;z-index:-2516234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" stroked="f">
                <v:textbox style="mso-fit-shape-to-text:t" inset="0,0,0,0">
                  <w:txbxContent>
                    <w:p w14:paraId="234434E0" w14:textId="77777777" w:rsidR="00423D65" w:rsidRPr="00B02C06" w:rsidRDefault="00423D65" w:rsidP="00423D65">
                      <w:pPr>
                        <w:pStyle w:val="Caption"/>
                        <w:rPr>
                          <w:rFonts w:ascii="Gill Sans MT" w:hAnsi="Gill Sans MT"/>
                          <w:b/>
                          <w:bCs/>
                          <w:noProof/>
                          <w:color w:val="auto"/>
                        </w:rPr>
                      </w:pPr>
                      <w:r w:rsidRPr="00B02C06">
                        <w:rPr>
                          <w:rFonts w:ascii="Gill Sans MT" w:hAnsi="Gill Sans MT"/>
                          <w:b/>
                          <w:bCs/>
                          <w:color w:val="auto"/>
                        </w:rPr>
                        <w:t xml:space="preserve">DHOS Zaza Y. </w:t>
                      </w:r>
                      <w:proofErr w:type="spellStart"/>
                      <w:r w:rsidRPr="00B02C06">
                        <w:rPr>
                          <w:rFonts w:ascii="Gill Sans MT" w:hAnsi="Gill Sans MT"/>
                          <w:b/>
                          <w:bCs/>
                          <w:color w:val="auto"/>
                        </w:rPr>
                        <w:t>Quaqua</w:t>
                      </w:r>
                      <w:proofErr w:type="spellEnd"/>
                      <w:r w:rsidRPr="00B02C06">
                        <w:rPr>
                          <w:rFonts w:ascii="Gill Sans MT" w:hAnsi="Gill Sans MT"/>
                          <w:b/>
                          <w:bCs/>
                          <w:color w:val="auto"/>
                        </w:rPr>
                        <w:t xml:space="preserve"> addressing one of the working sessions</w:t>
                      </w:r>
                    </w:p>
                  </w:txbxContent>
                </v:textbox>
                <w10:wrap type="tight" anchorx="margin"/>
              </v:shape>
            </w:pict>
          </mc:Fallback>
        </mc:AlternateContent>
      </w:r>
      <w:r w:rsidRPr="00B64E68">
        <w:rPr>
          <w:rFonts w:ascii="Times New Roman" w:hAnsi="Times New Roman" w:cs="Times New Roman"/>
          <w:noProof/>
          <w:sz w:val="24"/>
          <w:szCs w:val="24"/>
        </w:rPr>
        <w:drawing>
          <wp:anchor distT="0" distB="0" distL="114300" distR="114300" simplePos="0" relativeHeight="251691008" behindDoc="1" locked="0" layoutInCell="1" allowOverlap="1" wp14:anchorId="73DD364C" wp14:editId="0878FAEC">
            <wp:simplePos x="0" y="0"/>
            <wp:positionH relativeFrom="margin">
              <wp:align>left</wp:align>
            </wp:positionH>
            <wp:positionV relativeFrom="paragraph">
              <wp:posOffset>914400</wp:posOffset>
            </wp:positionV>
            <wp:extent cx="2070100" cy="2759075"/>
            <wp:effectExtent l="0" t="0" r="6350" b="3175"/>
            <wp:wrapTight wrapText="bothSides">
              <wp:wrapPolygon edited="0">
                <wp:start x="0" y="0"/>
                <wp:lineTo x="0" y="21476"/>
                <wp:lineTo x="21467" y="21476"/>
                <wp:lineTo x="21467" y="0"/>
                <wp:lineTo x="0" y="0"/>
              </wp:wrapPolygon>
            </wp:wrapTight>
            <wp:docPr id="15062144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010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hAnsi="Times New Roman" w:cs="Times New Roman"/>
          <w:noProof/>
          <w:sz w:val="24"/>
          <w:szCs w:val="24"/>
        </w:rPr>
        <w:drawing>
          <wp:anchor distT="0" distB="0" distL="114300" distR="114300" simplePos="0" relativeHeight="251689984" behindDoc="1" locked="0" layoutInCell="1" allowOverlap="1" wp14:anchorId="243EE636" wp14:editId="5F4657DB">
            <wp:simplePos x="0" y="0"/>
            <wp:positionH relativeFrom="margin">
              <wp:posOffset>2158365</wp:posOffset>
            </wp:positionH>
            <wp:positionV relativeFrom="paragraph">
              <wp:posOffset>965200</wp:posOffset>
            </wp:positionV>
            <wp:extent cx="3665855" cy="2749550"/>
            <wp:effectExtent l="0" t="0" r="0" b="0"/>
            <wp:wrapTight wrapText="bothSides">
              <wp:wrapPolygon edited="0">
                <wp:start x="0" y="0"/>
                <wp:lineTo x="0" y="21400"/>
                <wp:lineTo x="21439" y="21400"/>
                <wp:lineTo x="21439" y="0"/>
                <wp:lineTo x="0" y="0"/>
              </wp:wrapPolygon>
            </wp:wrapTight>
            <wp:docPr id="6579894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585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eastAsia="Times New Roman" w:hAnsi="Times New Roman" w:cs="Times New Roman"/>
          <w:sz w:val="24"/>
          <w:szCs w:val="24"/>
          <w:lang w:val="en-LR" w:eastAsia="en-LR"/>
        </w:rPr>
        <w:t xml:space="preserve">The development of Liberia’s 2024-2025 EITI workplan </w:t>
      </w:r>
      <w:r w:rsidR="00614380">
        <w:rPr>
          <w:rFonts w:ascii="Times New Roman" w:eastAsia="Times New Roman" w:hAnsi="Times New Roman" w:cs="Times New Roman"/>
          <w:sz w:val="24"/>
          <w:szCs w:val="24"/>
          <w:lang w:val="en-LR" w:eastAsia="en-LR"/>
        </w:rPr>
        <w:t>underscores LEITI’s commitment</w:t>
      </w:r>
      <w:r w:rsidRPr="00B64E68">
        <w:rPr>
          <w:rFonts w:ascii="Times New Roman" w:eastAsia="Times New Roman" w:hAnsi="Times New Roman" w:cs="Times New Roman"/>
          <w:sz w:val="24"/>
          <w:szCs w:val="24"/>
          <w:lang w:val="en-LR" w:eastAsia="en-LR"/>
        </w:rPr>
        <w:t xml:space="preserve"> to fostering meaningful stakeholder engagement and promoting good governance in the extractive sector. By incorporating diverse perspectives and prioritizing collaboration, LEITI continues to uphold its mandate </w:t>
      </w:r>
      <w:r w:rsidR="00614380">
        <w:rPr>
          <w:rFonts w:ascii="Times New Roman" w:eastAsia="Times New Roman" w:hAnsi="Times New Roman" w:cs="Times New Roman"/>
          <w:sz w:val="24"/>
          <w:szCs w:val="24"/>
          <w:lang w:val="en-LR" w:eastAsia="en-LR"/>
        </w:rPr>
        <w:t>to ensure that the country’s natural resources are managed transparently and accountably</w:t>
      </w:r>
      <w:r w:rsidRPr="00B64E68">
        <w:rPr>
          <w:rFonts w:ascii="Times New Roman" w:eastAsia="Times New Roman" w:hAnsi="Times New Roman" w:cs="Times New Roman"/>
          <w:sz w:val="24"/>
          <w:szCs w:val="24"/>
          <w:lang w:val="en-LR" w:eastAsia="en-LR"/>
        </w:rPr>
        <w:t xml:space="preserve"> for the benefit of all Liberians.</w:t>
      </w:r>
    </w:p>
    <w:p w14:paraId="7AEA832D" w14:textId="77777777" w:rsidR="00423D65" w:rsidRPr="00B64E68" w:rsidRDefault="00423D65" w:rsidP="00423D65">
      <w:pPr>
        <w:spacing w:after="0" w:line="240" w:lineRule="auto"/>
        <w:jc w:val="both"/>
        <w:rPr>
          <w:rFonts w:ascii="Times New Roman" w:eastAsia="Times New Roman" w:hAnsi="Times New Roman" w:cs="Times New Roman"/>
          <w:sz w:val="24"/>
          <w:szCs w:val="24"/>
          <w:lang w:eastAsia="en-LR"/>
        </w:rPr>
      </w:pPr>
      <w:r w:rsidRPr="00B64E68">
        <w:rPr>
          <w:rFonts w:ascii="Times New Roman" w:hAnsi="Times New Roman" w:cs="Times New Roman"/>
          <w:noProof/>
          <w:sz w:val="24"/>
          <w:szCs w:val="24"/>
        </w:rPr>
        <mc:AlternateContent>
          <mc:Choice Requires="wps">
            <w:drawing>
              <wp:anchor distT="0" distB="0" distL="114300" distR="114300" simplePos="0" relativeHeight="251692032" behindDoc="1" locked="0" layoutInCell="1" allowOverlap="1" wp14:anchorId="073E5BE7" wp14:editId="7E5863C3">
                <wp:simplePos x="0" y="0"/>
                <wp:positionH relativeFrom="column">
                  <wp:posOffset>2158365</wp:posOffset>
                </wp:positionH>
                <wp:positionV relativeFrom="paragraph">
                  <wp:posOffset>2830830</wp:posOffset>
                </wp:positionV>
                <wp:extent cx="3665855" cy="635"/>
                <wp:effectExtent l="0" t="0" r="0" b="0"/>
                <wp:wrapTight wrapText="bothSides">
                  <wp:wrapPolygon edited="0">
                    <wp:start x="0" y="0"/>
                    <wp:lineTo x="0" y="21600"/>
                    <wp:lineTo x="21600" y="21600"/>
                    <wp:lineTo x="21600" y="0"/>
                  </wp:wrapPolygon>
                </wp:wrapTight>
                <wp:docPr id="988037714" name="Text Box 1"/>
                <wp:cNvGraphicFramePr/>
                <a:graphic xmlns:a="http://schemas.openxmlformats.org/drawingml/2006/main">
                  <a:graphicData uri="http://schemas.microsoft.com/office/word/2010/wordprocessingShape">
                    <wps:wsp>
                      <wps:cNvSpPr txBox="1"/>
                      <wps:spPr>
                        <a:xfrm>
                          <a:off x="0" y="0"/>
                          <a:ext cx="3665855" cy="635"/>
                        </a:xfrm>
                        <a:prstGeom prst="rect">
                          <a:avLst/>
                        </a:prstGeom>
                        <a:solidFill>
                          <a:prstClr val="white"/>
                        </a:solidFill>
                        <a:ln>
                          <a:noFill/>
                        </a:ln>
                      </wps:spPr>
                      <wps:txbx>
                        <w:txbxContent>
                          <w:p w14:paraId="343AF45F" w14:textId="77777777" w:rsidR="00423D65" w:rsidRPr="00397059" w:rsidRDefault="00423D65" w:rsidP="00423D65">
                            <w:pPr>
                              <w:pStyle w:val="Caption"/>
                              <w:rPr>
                                <w:rFonts w:ascii="Gill Sans MT" w:hAnsi="Gill Sans MT"/>
                                <w:b/>
                                <w:bCs/>
                                <w:noProof/>
                                <w:color w:val="auto"/>
                              </w:rPr>
                            </w:pPr>
                            <w:r w:rsidRPr="00397059">
                              <w:rPr>
                                <w:rFonts w:ascii="Gill Sans MT" w:hAnsi="Gill Sans MT"/>
                                <w:b/>
                                <w:bCs/>
                                <w:color w:val="auto"/>
                              </w:rPr>
                              <w:t>CSOs outside of the MSG attending the working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3E5BE7" id="_x0000_s1037" type="#_x0000_t202" style="position:absolute;left:0;text-align:left;margin-left:169.95pt;margin-top:222.9pt;width:288.6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" stroked="f">
                <v:textbox style="mso-fit-shape-to-text:t" inset="0,0,0,0">
                  <w:txbxContent>
                    <w:p w14:paraId="343AF45F" w14:textId="77777777" w:rsidR="00423D65" w:rsidRPr="00397059" w:rsidRDefault="00423D65" w:rsidP="00423D65">
                      <w:pPr>
                        <w:pStyle w:val="Caption"/>
                        <w:rPr>
                          <w:rFonts w:ascii="Gill Sans MT" w:hAnsi="Gill Sans MT"/>
                          <w:b/>
                          <w:bCs/>
                          <w:noProof/>
                          <w:color w:val="auto"/>
                        </w:rPr>
                      </w:pPr>
                      <w:r w:rsidRPr="00397059">
                        <w:rPr>
                          <w:rFonts w:ascii="Gill Sans MT" w:hAnsi="Gill Sans MT"/>
                          <w:b/>
                          <w:bCs/>
                          <w:color w:val="auto"/>
                        </w:rPr>
                        <w:t>CSOs outside of the MSG attending the working session</w:t>
                      </w:r>
                    </w:p>
                  </w:txbxContent>
                </v:textbox>
                <w10:wrap type="tight"/>
              </v:shape>
            </w:pict>
          </mc:Fallback>
        </mc:AlternateContent>
      </w:r>
    </w:p>
    <w:p w14:paraId="11B74FC9" w14:textId="5051092E" w:rsidR="00423D65" w:rsidRPr="00B64E68" w:rsidRDefault="00423D65" w:rsidP="00222665">
      <w:pPr>
        <w:pStyle w:val="Heading1"/>
      </w:pPr>
      <w:bookmarkStart w:id="15" w:name="_Toc217895917"/>
      <w:r w:rsidRPr="00B64E68">
        <w:lastRenderedPageBreak/>
        <w:t>Details of Membership of the MSG during the Period</w:t>
      </w:r>
      <w:bookmarkEnd w:id="15"/>
    </w:p>
    <w:p w14:paraId="407C7E01" w14:textId="0DF8371C" w:rsidR="00423D65" w:rsidRPr="00B64E68" w:rsidRDefault="00423D65" w:rsidP="00423D65">
      <w:pPr>
        <w:spacing w:after="0" w:line="240" w:lineRule="auto"/>
        <w:jc w:val="both"/>
        <w:rPr>
          <w:rFonts w:ascii="Times New Roman" w:hAnsi="Times New Roman" w:cs="Times New Roman"/>
          <w:color w:val="FF0000"/>
          <w:sz w:val="24"/>
          <w:szCs w:val="24"/>
        </w:rPr>
      </w:pPr>
      <w:r w:rsidRPr="00B64E68">
        <w:rPr>
          <w:rFonts w:ascii="Times New Roman" w:hAnsi="Times New Roman" w:cs="Times New Roman"/>
          <w:i/>
          <w:sz w:val="24"/>
          <w:szCs w:val="24"/>
        </w:rPr>
        <w:t>Membership</w:t>
      </w:r>
      <w:r w:rsidRPr="00B64E68">
        <w:rPr>
          <w:rFonts w:ascii="Times New Roman" w:hAnsi="Times New Roman" w:cs="Times New Roman"/>
          <w:sz w:val="24"/>
          <w:szCs w:val="24"/>
        </w:rPr>
        <w:t>—consistent with Section 6.1 of the LEITI Act of 2009, the MSG shall comprise at least fifteen (15) members drawn from three constituencies—the Government of Liberia</w:t>
      </w:r>
      <w:r w:rsidR="00614380">
        <w:rPr>
          <w:rFonts w:ascii="Times New Roman" w:hAnsi="Times New Roman" w:cs="Times New Roman"/>
          <w:sz w:val="24"/>
          <w:szCs w:val="24"/>
        </w:rPr>
        <w:t>,</w:t>
      </w:r>
      <w:r w:rsidRPr="00B64E68">
        <w:rPr>
          <w:rFonts w:ascii="Times New Roman" w:hAnsi="Times New Roman" w:cs="Times New Roman"/>
          <w:sz w:val="24"/>
          <w:szCs w:val="24"/>
        </w:rPr>
        <w:t xml:space="preserve"> the Civil Society, and the Private Sector. The Act further requires seven representations from the </w:t>
      </w:r>
      <w:proofErr w:type="spellStart"/>
      <w:r w:rsidRPr="00B64E68">
        <w:rPr>
          <w:rFonts w:ascii="Times New Roman" w:hAnsi="Times New Roman" w:cs="Times New Roman"/>
          <w:sz w:val="24"/>
          <w:szCs w:val="24"/>
        </w:rPr>
        <w:t>GoL</w:t>
      </w:r>
      <w:proofErr w:type="spellEnd"/>
      <w:r w:rsidRPr="00B64E68">
        <w:rPr>
          <w:rFonts w:ascii="Times New Roman" w:hAnsi="Times New Roman" w:cs="Times New Roman"/>
          <w:sz w:val="24"/>
          <w:szCs w:val="24"/>
        </w:rPr>
        <w:t>, including the Minister of Finance (now the Minister of Finance and Development Planning); the Minister of Lands, Mines, and Energy; the Managing Director of the Forestry Development Authority; the President/CEO of the National Oil Company of Liberia or its successor and two members each representing the Senate and House of Representatives. The Civil Society representatives include Publish What You Pay Liberia or its successor organization and a representative of a recognized association or union of workers in the extractive sectors as permanent members</w:t>
      </w:r>
      <w:r w:rsidR="00614380">
        <w:rPr>
          <w:rFonts w:ascii="Times New Roman" w:hAnsi="Times New Roman" w:cs="Times New Roman"/>
          <w:sz w:val="24"/>
          <w:szCs w:val="24"/>
        </w:rPr>
        <w:t>. At the same time, the Private Sector is required to have four representatives, one from each of the mining, forestry, agriculture, and oil sectors,</w:t>
      </w:r>
      <w:r w:rsidRPr="00B64E68">
        <w:rPr>
          <w:rFonts w:ascii="Times New Roman" w:hAnsi="Times New Roman" w:cs="Times New Roman"/>
          <w:sz w:val="24"/>
          <w:szCs w:val="24"/>
        </w:rPr>
        <w:t xml:space="preserve"> as permanent members.  A few of Liberia’s development partners are also on the MSG as observers</w:t>
      </w:r>
      <w:r w:rsidRPr="00B64E68">
        <w:rPr>
          <w:rFonts w:ascii="Times New Roman" w:hAnsi="Times New Roman" w:cs="Times New Roman"/>
          <w:color w:val="FF0000"/>
          <w:sz w:val="24"/>
          <w:szCs w:val="24"/>
        </w:rPr>
        <w:t>.</w:t>
      </w:r>
    </w:p>
    <w:p w14:paraId="02FAB7BF" w14:textId="77777777" w:rsidR="00423D65" w:rsidRPr="00B64E68" w:rsidRDefault="00423D65" w:rsidP="00423D65">
      <w:pPr>
        <w:spacing w:after="0" w:line="240" w:lineRule="auto"/>
        <w:jc w:val="both"/>
        <w:rPr>
          <w:rFonts w:ascii="Times New Roman" w:hAnsi="Times New Roman" w:cs="Times New Roman"/>
          <w:sz w:val="24"/>
          <w:szCs w:val="24"/>
        </w:rPr>
      </w:pPr>
    </w:p>
    <w:p w14:paraId="6767C385"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 xml:space="preserve">The table below provides details of MSG membership during the period under </w:t>
      </w:r>
    </w:p>
    <w:p w14:paraId="12C4BACF"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review.</w:t>
      </w:r>
    </w:p>
    <w:p w14:paraId="4BB50B9C" w14:textId="5416EABB" w:rsidR="00423D65" w:rsidRPr="00B64E68" w:rsidRDefault="00423D65" w:rsidP="00423D65">
      <w:pPr>
        <w:pStyle w:val="NoSpacing"/>
        <w:rPr>
          <w:rFonts w:ascii="Times New Roman" w:hAnsi="Times New Roman" w:cs="Times New Roman"/>
          <w:sz w:val="24"/>
          <w:szCs w:val="24"/>
        </w:rPr>
      </w:pPr>
      <w:r w:rsidRPr="00B64E68">
        <w:rPr>
          <w:rFonts w:ascii="Times New Roman" w:hAnsi="Times New Roman" w:cs="Times New Roman"/>
          <w:sz w:val="24"/>
          <w:szCs w:val="24"/>
        </w:rPr>
        <w:t xml:space="preserve">  </w:t>
      </w:r>
    </w:p>
    <w:p w14:paraId="7B8B3ED4" w14:textId="77777777" w:rsidR="00423D65" w:rsidRPr="00B64E68" w:rsidRDefault="00423D65" w:rsidP="00423D65">
      <w:pPr>
        <w:pStyle w:val="NoSpacing"/>
        <w:rPr>
          <w:rFonts w:ascii="Times New Roman" w:hAnsi="Times New Roman" w:cs="Times New Roman"/>
          <w:b/>
          <w:bCs/>
          <w:sz w:val="24"/>
          <w:szCs w:val="24"/>
        </w:rPr>
      </w:pPr>
      <w:r w:rsidRPr="00B64E68">
        <w:rPr>
          <w:rFonts w:ascii="Times New Roman" w:hAnsi="Times New Roman" w:cs="Times New Roman"/>
          <w:sz w:val="24"/>
          <w:szCs w:val="24"/>
        </w:rPr>
        <w:t xml:space="preserve"> </w:t>
      </w:r>
      <w:r w:rsidRPr="00B64E68">
        <w:rPr>
          <w:rFonts w:ascii="Times New Roman" w:hAnsi="Times New Roman" w:cs="Times New Roman"/>
          <w:b/>
          <w:bCs/>
          <w:sz w:val="24"/>
          <w:szCs w:val="24"/>
        </w:rPr>
        <w:t>Current MSG Membership</w:t>
      </w:r>
    </w:p>
    <w:tbl>
      <w:tblPr>
        <w:tblStyle w:val="TableGrid"/>
        <w:tblW w:w="9493" w:type="dxa"/>
        <w:tblLook w:val="04A0" w:firstRow="1" w:lastRow="0" w:firstColumn="1" w:lastColumn="0" w:noHBand="0" w:noVBand="1"/>
      </w:tblPr>
      <w:tblGrid>
        <w:gridCol w:w="3823"/>
        <w:gridCol w:w="5670"/>
      </w:tblGrid>
      <w:tr w:rsidR="00614380" w:rsidRPr="00AF3F5B" w14:paraId="16DCB048" w14:textId="77777777" w:rsidTr="0057476A">
        <w:tc>
          <w:tcPr>
            <w:tcW w:w="9493" w:type="dxa"/>
            <w:gridSpan w:val="2"/>
          </w:tcPr>
          <w:p w14:paraId="14D051BE" w14:textId="77777777" w:rsidR="00614380" w:rsidRPr="00AF3F5B" w:rsidRDefault="00614380" w:rsidP="0057476A">
            <w:pPr>
              <w:pStyle w:val="NormalWeb"/>
              <w:spacing w:before="0" w:beforeAutospacing="0" w:after="150" w:afterAutospacing="0"/>
              <w:jc w:val="center"/>
              <w:rPr>
                <w:b/>
                <w:color w:val="333333"/>
              </w:rPr>
            </w:pPr>
            <w:r w:rsidRPr="00AF3F5B">
              <w:rPr>
                <w:b/>
                <w:color w:val="333333"/>
              </w:rPr>
              <w:t>Civil Society Representatives</w:t>
            </w:r>
          </w:p>
        </w:tc>
      </w:tr>
      <w:tr w:rsidR="00614380" w:rsidRPr="00AF3F5B" w14:paraId="0F8778BF" w14:textId="77777777" w:rsidTr="0057476A">
        <w:trPr>
          <w:trHeight w:val="524"/>
        </w:trPr>
        <w:tc>
          <w:tcPr>
            <w:tcW w:w="3823" w:type="dxa"/>
          </w:tcPr>
          <w:p w14:paraId="2B636DDC"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Mrs. Cecelia Danuweli                     </w:t>
            </w:r>
          </w:p>
        </w:tc>
        <w:tc>
          <w:tcPr>
            <w:tcW w:w="5670" w:type="dxa"/>
          </w:tcPr>
          <w:p w14:paraId="207A5123"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Publish What You Pay – Liberia</w:t>
            </w:r>
          </w:p>
        </w:tc>
      </w:tr>
      <w:tr w:rsidR="00614380" w:rsidRPr="00AF3F5B" w14:paraId="0C3A34B4" w14:textId="77777777" w:rsidTr="0057476A">
        <w:tc>
          <w:tcPr>
            <w:tcW w:w="3823" w:type="dxa"/>
          </w:tcPr>
          <w:p w14:paraId="5B2FE05F" w14:textId="77777777" w:rsidR="00614380" w:rsidRPr="00AF3F5B" w:rsidRDefault="00614380" w:rsidP="0057476A">
            <w:pPr>
              <w:pStyle w:val="NormalWeb"/>
              <w:spacing w:before="0" w:beforeAutospacing="0" w:after="150" w:afterAutospacing="0"/>
              <w:jc w:val="both"/>
              <w:rPr>
                <w:color w:val="333333"/>
              </w:rPr>
            </w:pPr>
            <w:r w:rsidRPr="00AF3F5B">
              <w:rPr>
                <w:color w:val="333333"/>
              </w:rPr>
              <w:t>Mr. Winston W. Wreh</w:t>
            </w:r>
          </w:p>
        </w:tc>
        <w:tc>
          <w:tcPr>
            <w:tcW w:w="5670" w:type="dxa"/>
          </w:tcPr>
          <w:p w14:paraId="56BF8410"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Liberia </w:t>
            </w:r>
            <w:proofErr w:type="spellStart"/>
            <w:r w:rsidRPr="00AF3F5B">
              <w:rPr>
                <w:color w:val="333333"/>
              </w:rPr>
              <w:t>Labour</w:t>
            </w:r>
            <w:proofErr w:type="spellEnd"/>
            <w:r w:rsidRPr="00AF3F5B">
              <w:rPr>
                <w:color w:val="333333"/>
              </w:rPr>
              <w:t xml:space="preserve"> Congress              </w:t>
            </w:r>
          </w:p>
        </w:tc>
      </w:tr>
      <w:tr w:rsidR="00614380" w:rsidRPr="00AF3F5B" w14:paraId="207C18B4" w14:textId="77777777" w:rsidTr="0057476A">
        <w:tc>
          <w:tcPr>
            <w:tcW w:w="3823" w:type="dxa"/>
          </w:tcPr>
          <w:p w14:paraId="30049D88"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Mr. Abraham B. </w:t>
            </w:r>
            <w:proofErr w:type="spellStart"/>
            <w:r w:rsidRPr="00AF3F5B">
              <w:rPr>
                <w:color w:val="333333"/>
              </w:rPr>
              <w:t>Gappie</w:t>
            </w:r>
            <w:proofErr w:type="spellEnd"/>
          </w:p>
        </w:tc>
        <w:tc>
          <w:tcPr>
            <w:tcW w:w="5670" w:type="dxa"/>
          </w:tcPr>
          <w:p w14:paraId="3C1C3077"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Mineral Civil Society </w:t>
            </w:r>
            <w:r>
              <w:rPr>
                <w:color w:val="333333"/>
              </w:rPr>
              <w:t>O</w:t>
            </w:r>
            <w:r w:rsidRPr="00AF3F5B">
              <w:rPr>
                <w:color w:val="333333"/>
              </w:rPr>
              <w:t xml:space="preserve">rganizations </w:t>
            </w:r>
            <w:r>
              <w:rPr>
                <w:color w:val="333333"/>
              </w:rPr>
              <w:t>of</w:t>
            </w:r>
            <w:r w:rsidRPr="00AF3F5B">
              <w:rPr>
                <w:color w:val="333333"/>
              </w:rPr>
              <w:t xml:space="preserve"> Liberia                  </w:t>
            </w:r>
          </w:p>
        </w:tc>
      </w:tr>
      <w:tr w:rsidR="00614380" w:rsidRPr="00AF3F5B" w14:paraId="4C5F45B7" w14:textId="77777777" w:rsidTr="0057476A">
        <w:tc>
          <w:tcPr>
            <w:tcW w:w="3823" w:type="dxa"/>
          </w:tcPr>
          <w:p w14:paraId="53CC7234"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Amb. George Kingsley                     </w:t>
            </w:r>
          </w:p>
        </w:tc>
        <w:tc>
          <w:tcPr>
            <w:tcW w:w="5670" w:type="dxa"/>
          </w:tcPr>
          <w:p w14:paraId="6546134C"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National Civil Society Council of Liberia         </w:t>
            </w:r>
          </w:p>
        </w:tc>
      </w:tr>
      <w:tr w:rsidR="00614380" w:rsidRPr="00AF3F5B" w14:paraId="3D5DB99F" w14:textId="77777777" w:rsidTr="0057476A">
        <w:tc>
          <w:tcPr>
            <w:tcW w:w="9493" w:type="dxa"/>
            <w:gridSpan w:val="2"/>
          </w:tcPr>
          <w:p w14:paraId="7E026806" w14:textId="77777777" w:rsidR="00614380" w:rsidRPr="00AF3F5B" w:rsidRDefault="00614380" w:rsidP="0057476A">
            <w:pPr>
              <w:pStyle w:val="NormalWeb"/>
              <w:spacing w:before="0" w:beforeAutospacing="0" w:after="150" w:afterAutospacing="0"/>
              <w:jc w:val="center"/>
              <w:rPr>
                <w:b/>
                <w:color w:val="333333"/>
              </w:rPr>
            </w:pPr>
            <w:r w:rsidRPr="00AF3F5B">
              <w:rPr>
                <w:b/>
                <w:color w:val="333333"/>
              </w:rPr>
              <w:t>Private Sector Representatives</w:t>
            </w:r>
          </w:p>
        </w:tc>
      </w:tr>
      <w:tr w:rsidR="00614380" w:rsidRPr="00AF3F5B" w14:paraId="69019BD1" w14:textId="77777777" w:rsidTr="0057476A">
        <w:tc>
          <w:tcPr>
            <w:tcW w:w="3823" w:type="dxa"/>
          </w:tcPr>
          <w:p w14:paraId="4FA6E3F3" w14:textId="77777777" w:rsidR="00614380" w:rsidRPr="00AF3F5B" w:rsidRDefault="00614380" w:rsidP="0057476A">
            <w:pPr>
              <w:pStyle w:val="NormalWeb"/>
              <w:spacing w:before="0" w:beforeAutospacing="0" w:after="150" w:afterAutospacing="0"/>
              <w:jc w:val="both"/>
              <w:rPr>
                <w:color w:val="333333"/>
              </w:rPr>
            </w:pPr>
            <w:r w:rsidRPr="00AF3F5B">
              <w:rPr>
                <w:color w:val="333333"/>
              </w:rPr>
              <w:t>Cllr. Michael V. Suah                 </w:t>
            </w:r>
          </w:p>
        </w:tc>
        <w:tc>
          <w:tcPr>
            <w:tcW w:w="5670" w:type="dxa"/>
          </w:tcPr>
          <w:p w14:paraId="5083BD4A"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Mining Sector Representative</w:t>
            </w:r>
          </w:p>
        </w:tc>
      </w:tr>
      <w:tr w:rsidR="00614380" w:rsidRPr="00AF3F5B" w14:paraId="5F2189F7" w14:textId="77777777" w:rsidTr="0057476A">
        <w:tc>
          <w:tcPr>
            <w:tcW w:w="3823" w:type="dxa"/>
          </w:tcPr>
          <w:p w14:paraId="7DC39C41"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Mr. Elvis G. Morris                          </w:t>
            </w:r>
          </w:p>
        </w:tc>
        <w:tc>
          <w:tcPr>
            <w:tcW w:w="5670" w:type="dxa"/>
          </w:tcPr>
          <w:p w14:paraId="544E6911"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Agriculture Sector Representative</w:t>
            </w:r>
          </w:p>
        </w:tc>
      </w:tr>
      <w:tr w:rsidR="00614380" w:rsidRPr="00AF3F5B" w14:paraId="7C8FAFD6" w14:textId="77777777" w:rsidTr="0057476A">
        <w:tc>
          <w:tcPr>
            <w:tcW w:w="3823" w:type="dxa"/>
          </w:tcPr>
          <w:p w14:paraId="24B6ABF0" w14:textId="77777777" w:rsidR="00614380" w:rsidRPr="00AF3F5B" w:rsidRDefault="00614380" w:rsidP="0057476A">
            <w:pPr>
              <w:pStyle w:val="NormalWeb"/>
              <w:spacing w:before="0" w:beforeAutospacing="0" w:after="150" w:afterAutospacing="0"/>
              <w:jc w:val="both"/>
              <w:rPr>
                <w:color w:val="333333"/>
              </w:rPr>
            </w:pPr>
            <w:r w:rsidRPr="00AF3F5B">
              <w:rPr>
                <w:color w:val="333333"/>
              </w:rPr>
              <w:t>Mr. James M. Strother                      </w:t>
            </w:r>
          </w:p>
        </w:tc>
        <w:tc>
          <w:tcPr>
            <w:tcW w:w="5670" w:type="dxa"/>
          </w:tcPr>
          <w:p w14:paraId="0EEEDC8C"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Oil Sector Representative</w:t>
            </w:r>
          </w:p>
        </w:tc>
      </w:tr>
      <w:tr w:rsidR="00614380" w:rsidRPr="00AF3F5B" w14:paraId="65013958" w14:textId="77777777" w:rsidTr="0057476A">
        <w:tc>
          <w:tcPr>
            <w:tcW w:w="3823" w:type="dxa"/>
          </w:tcPr>
          <w:p w14:paraId="2F59A1CD"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Mrs. Eliza D. J </w:t>
            </w:r>
            <w:proofErr w:type="spellStart"/>
            <w:r w:rsidRPr="00AF3F5B">
              <w:rPr>
                <w:color w:val="333333"/>
              </w:rPr>
              <w:t>Kronyanh</w:t>
            </w:r>
            <w:proofErr w:type="spellEnd"/>
            <w:r w:rsidRPr="00AF3F5B">
              <w:rPr>
                <w:color w:val="333333"/>
              </w:rPr>
              <w:t>                  </w:t>
            </w:r>
          </w:p>
        </w:tc>
        <w:tc>
          <w:tcPr>
            <w:tcW w:w="5670" w:type="dxa"/>
          </w:tcPr>
          <w:p w14:paraId="1CA0EF18"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Forestry Sector Representative</w:t>
            </w:r>
          </w:p>
        </w:tc>
      </w:tr>
      <w:tr w:rsidR="00614380" w:rsidRPr="00AF3F5B" w14:paraId="0E0A50FA" w14:textId="77777777" w:rsidTr="0057476A">
        <w:tc>
          <w:tcPr>
            <w:tcW w:w="9493" w:type="dxa"/>
            <w:gridSpan w:val="2"/>
          </w:tcPr>
          <w:p w14:paraId="7B01C5B3" w14:textId="77777777" w:rsidR="00614380" w:rsidRPr="00AF3F5B" w:rsidRDefault="00614380" w:rsidP="0057476A">
            <w:pPr>
              <w:pStyle w:val="NormalWeb"/>
              <w:spacing w:before="0" w:beforeAutospacing="0" w:after="150" w:afterAutospacing="0"/>
              <w:jc w:val="center"/>
              <w:rPr>
                <w:b/>
                <w:color w:val="333333"/>
              </w:rPr>
            </w:pPr>
            <w:r w:rsidRPr="00AF3F5B">
              <w:rPr>
                <w:b/>
                <w:color w:val="333333"/>
              </w:rPr>
              <w:t>Government Sector Representatives</w:t>
            </w:r>
          </w:p>
        </w:tc>
      </w:tr>
      <w:tr w:rsidR="00614380" w:rsidRPr="00AF3F5B" w14:paraId="2840986D" w14:textId="77777777" w:rsidTr="0057476A">
        <w:tc>
          <w:tcPr>
            <w:tcW w:w="3823" w:type="dxa"/>
          </w:tcPr>
          <w:p w14:paraId="3CD13E7E" w14:textId="77777777" w:rsidR="00614380" w:rsidRPr="00AF3F5B" w:rsidRDefault="00614380" w:rsidP="0057476A">
            <w:pPr>
              <w:pStyle w:val="NormalWeb"/>
              <w:spacing w:before="0" w:beforeAutospacing="0" w:after="150" w:afterAutospacing="0"/>
              <w:jc w:val="both"/>
              <w:rPr>
                <w:color w:val="333333"/>
              </w:rPr>
            </w:pPr>
            <w:r w:rsidRPr="00AF3F5B">
              <w:rPr>
                <w:color w:val="333333"/>
              </w:rPr>
              <w:t> Hon. Rudolph J. Merab Sr.</w:t>
            </w:r>
          </w:p>
        </w:tc>
        <w:tc>
          <w:tcPr>
            <w:tcW w:w="5670" w:type="dxa"/>
          </w:tcPr>
          <w:p w14:paraId="4257400A" w14:textId="77777777" w:rsidR="00614380" w:rsidRPr="00AF3F5B" w:rsidRDefault="00614380" w:rsidP="0057476A">
            <w:pPr>
              <w:pStyle w:val="NormalWeb"/>
              <w:spacing w:before="0" w:beforeAutospacing="0" w:after="150" w:afterAutospacing="0"/>
              <w:jc w:val="both"/>
              <w:rPr>
                <w:color w:val="333333"/>
              </w:rPr>
            </w:pPr>
            <w:r w:rsidRPr="00AF3F5B">
              <w:rPr>
                <w:color w:val="333333"/>
              </w:rPr>
              <w:t>Forestry Development Authority</w:t>
            </w:r>
          </w:p>
        </w:tc>
      </w:tr>
      <w:tr w:rsidR="00614380" w:rsidRPr="00AF3F5B" w14:paraId="13E56021" w14:textId="77777777" w:rsidTr="0057476A">
        <w:tc>
          <w:tcPr>
            <w:tcW w:w="3823" w:type="dxa"/>
          </w:tcPr>
          <w:p w14:paraId="51244A70"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Hon. Augustine K. </w:t>
            </w:r>
            <w:proofErr w:type="spellStart"/>
            <w:r w:rsidRPr="00AF3F5B">
              <w:rPr>
                <w:color w:val="333333"/>
              </w:rPr>
              <w:t>Ngafuan</w:t>
            </w:r>
            <w:proofErr w:type="spellEnd"/>
            <w:r w:rsidRPr="00AF3F5B">
              <w:rPr>
                <w:color w:val="333333"/>
              </w:rPr>
              <w:t xml:space="preserve">               </w:t>
            </w:r>
          </w:p>
        </w:tc>
        <w:tc>
          <w:tcPr>
            <w:tcW w:w="5670" w:type="dxa"/>
          </w:tcPr>
          <w:p w14:paraId="78489768"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Ministry of Finance and Development Planning</w:t>
            </w:r>
          </w:p>
        </w:tc>
      </w:tr>
      <w:tr w:rsidR="00614380" w:rsidRPr="00AF3F5B" w14:paraId="601BA6AE" w14:textId="77777777" w:rsidTr="0057476A">
        <w:tc>
          <w:tcPr>
            <w:tcW w:w="3823" w:type="dxa"/>
          </w:tcPr>
          <w:p w14:paraId="61A58277"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Hon. Wilmot J. M. Paye                     </w:t>
            </w:r>
          </w:p>
        </w:tc>
        <w:tc>
          <w:tcPr>
            <w:tcW w:w="5670" w:type="dxa"/>
          </w:tcPr>
          <w:p w14:paraId="258AFD14"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Ministry of Mines and Energy</w:t>
            </w:r>
          </w:p>
        </w:tc>
      </w:tr>
      <w:tr w:rsidR="00614380" w:rsidRPr="00AF3F5B" w14:paraId="6F8373EA" w14:textId="77777777" w:rsidTr="0057476A">
        <w:tc>
          <w:tcPr>
            <w:tcW w:w="3823" w:type="dxa"/>
          </w:tcPr>
          <w:p w14:paraId="1FD646D1"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Hon. </w:t>
            </w:r>
            <w:proofErr w:type="spellStart"/>
            <w:r w:rsidRPr="00AF3F5B">
              <w:rPr>
                <w:color w:val="333333"/>
              </w:rPr>
              <w:t>Rustolyn</w:t>
            </w:r>
            <w:proofErr w:type="spellEnd"/>
            <w:r w:rsidRPr="00AF3F5B">
              <w:rPr>
                <w:color w:val="333333"/>
              </w:rPr>
              <w:t xml:space="preserve"> S. Dennis                    </w:t>
            </w:r>
          </w:p>
        </w:tc>
        <w:tc>
          <w:tcPr>
            <w:tcW w:w="5670" w:type="dxa"/>
          </w:tcPr>
          <w:p w14:paraId="7A677F16"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National Oil Company of Liberia</w:t>
            </w:r>
          </w:p>
        </w:tc>
      </w:tr>
      <w:tr w:rsidR="00614380" w:rsidRPr="00AF3F5B" w14:paraId="5D2AE800" w14:textId="77777777" w:rsidTr="0057476A">
        <w:tc>
          <w:tcPr>
            <w:tcW w:w="3823" w:type="dxa"/>
          </w:tcPr>
          <w:p w14:paraId="2102BAD7" w14:textId="77777777" w:rsidR="00614380" w:rsidRPr="00AF3F5B" w:rsidRDefault="00614380" w:rsidP="0057476A">
            <w:pPr>
              <w:pStyle w:val="NormalWeb"/>
              <w:spacing w:before="0" w:beforeAutospacing="0" w:after="150" w:afterAutospacing="0"/>
              <w:jc w:val="both"/>
              <w:rPr>
                <w:color w:val="333333"/>
              </w:rPr>
            </w:pPr>
            <w:r w:rsidRPr="00AF3F5B">
              <w:rPr>
                <w:color w:val="333333"/>
              </w:rPr>
              <w:t xml:space="preserve">Dr. Alexander J. </w:t>
            </w:r>
            <w:proofErr w:type="spellStart"/>
            <w:r w:rsidRPr="00AF3F5B">
              <w:rPr>
                <w:color w:val="333333"/>
              </w:rPr>
              <w:t>Nuetah</w:t>
            </w:r>
            <w:proofErr w:type="spellEnd"/>
            <w:r w:rsidRPr="00AF3F5B">
              <w:rPr>
                <w:color w:val="333333"/>
              </w:rPr>
              <w:t xml:space="preserve">                    </w:t>
            </w:r>
          </w:p>
        </w:tc>
        <w:tc>
          <w:tcPr>
            <w:tcW w:w="5670" w:type="dxa"/>
          </w:tcPr>
          <w:p w14:paraId="00C69410"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Ministry of Agriculture</w:t>
            </w:r>
          </w:p>
        </w:tc>
      </w:tr>
      <w:tr w:rsidR="00614380" w:rsidRPr="00AF3F5B" w14:paraId="5A3BF741" w14:textId="77777777" w:rsidTr="0057476A">
        <w:tc>
          <w:tcPr>
            <w:tcW w:w="3823" w:type="dxa"/>
          </w:tcPr>
          <w:p w14:paraId="52133F10" w14:textId="77777777" w:rsidR="00614380" w:rsidRPr="00AF3F5B" w:rsidRDefault="00614380" w:rsidP="0057476A">
            <w:pPr>
              <w:pStyle w:val="NormalWeb"/>
              <w:spacing w:before="0" w:beforeAutospacing="0" w:after="150" w:afterAutospacing="0"/>
              <w:jc w:val="both"/>
              <w:rPr>
                <w:color w:val="333333"/>
              </w:rPr>
            </w:pPr>
            <w:r w:rsidRPr="00AF3F5B">
              <w:rPr>
                <w:color w:val="333333"/>
              </w:rPr>
              <w:lastRenderedPageBreak/>
              <w:t>Cllr. N. Oswald Tweh                       </w:t>
            </w:r>
          </w:p>
        </w:tc>
        <w:tc>
          <w:tcPr>
            <w:tcW w:w="5670" w:type="dxa"/>
          </w:tcPr>
          <w:p w14:paraId="47671FCE" w14:textId="77777777" w:rsidR="00614380" w:rsidRPr="00AF3F5B" w:rsidRDefault="00614380" w:rsidP="0057476A">
            <w:pPr>
              <w:pStyle w:val="NormalWeb"/>
              <w:spacing w:before="0" w:beforeAutospacing="0" w:after="150" w:afterAutospacing="0"/>
              <w:jc w:val="both"/>
              <w:rPr>
                <w:color w:val="333333"/>
              </w:rPr>
            </w:pPr>
            <w:r w:rsidRPr="00AF3F5B">
              <w:rPr>
                <w:color w:val="333333"/>
              </w:rPr>
              <w:t>Ministry of Justice</w:t>
            </w:r>
          </w:p>
        </w:tc>
      </w:tr>
      <w:tr w:rsidR="00614380" w:rsidRPr="00AF3F5B" w14:paraId="3EF8D204" w14:textId="77777777" w:rsidTr="0057476A">
        <w:tc>
          <w:tcPr>
            <w:tcW w:w="3823" w:type="dxa"/>
          </w:tcPr>
          <w:p w14:paraId="49895526" w14:textId="77777777" w:rsidR="00614380" w:rsidRPr="00AF3F5B" w:rsidRDefault="00614380" w:rsidP="0057476A">
            <w:pPr>
              <w:pStyle w:val="NormalWeb"/>
              <w:spacing w:before="0" w:beforeAutospacing="0" w:after="150" w:afterAutospacing="0"/>
              <w:jc w:val="both"/>
              <w:rPr>
                <w:color w:val="333333"/>
              </w:rPr>
            </w:pPr>
            <w:r w:rsidRPr="00AF3F5B">
              <w:rPr>
                <w:color w:val="333333"/>
              </w:rPr>
              <w:t>Hon. James Dorbor Jallah                 </w:t>
            </w:r>
          </w:p>
        </w:tc>
        <w:tc>
          <w:tcPr>
            <w:tcW w:w="5670" w:type="dxa"/>
          </w:tcPr>
          <w:p w14:paraId="34947928"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Liberia Revenue Authority</w:t>
            </w:r>
          </w:p>
        </w:tc>
      </w:tr>
      <w:tr w:rsidR="00614380" w:rsidRPr="00AF3F5B" w14:paraId="7743E306" w14:textId="77777777" w:rsidTr="0057476A">
        <w:tc>
          <w:tcPr>
            <w:tcW w:w="3823" w:type="dxa"/>
          </w:tcPr>
          <w:p w14:paraId="6A9DBF2A" w14:textId="77777777" w:rsidR="00614380" w:rsidRPr="00AF3F5B" w:rsidRDefault="00614380" w:rsidP="0057476A">
            <w:pPr>
              <w:pStyle w:val="NormalWeb"/>
              <w:spacing w:before="0" w:beforeAutospacing="0" w:after="150" w:afterAutospacing="0"/>
              <w:jc w:val="both"/>
              <w:rPr>
                <w:color w:val="333333"/>
              </w:rPr>
            </w:pPr>
            <w:r w:rsidRPr="00AF3F5B">
              <w:rPr>
                <w:color w:val="333333"/>
              </w:rPr>
              <w:t>Hon. Marilyn T. Logan</w:t>
            </w:r>
          </w:p>
        </w:tc>
        <w:tc>
          <w:tcPr>
            <w:tcW w:w="5670" w:type="dxa"/>
          </w:tcPr>
          <w:p w14:paraId="40BB94AF" w14:textId="77777777" w:rsidR="00614380" w:rsidRPr="00AF3F5B" w:rsidRDefault="00614380" w:rsidP="0057476A">
            <w:pPr>
              <w:pStyle w:val="NormalWeb"/>
              <w:shd w:val="clear" w:color="auto" w:fill="FFFFFF"/>
              <w:spacing w:before="0" w:beforeAutospacing="0" w:after="150" w:afterAutospacing="0"/>
              <w:jc w:val="both"/>
              <w:rPr>
                <w:color w:val="333333"/>
              </w:rPr>
            </w:pPr>
            <w:r w:rsidRPr="00AF3F5B">
              <w:rPr>
                <w:color w:val="333333"/>
              </w:rPr>
              <w:t>Liberia Petroleum Regulatory Authority</w:t>
            </w:r>
          </w:p>
        </w:tc>
      </w:tr>
    </w:tbl>
    <w:p w14:paraId="0EBE9D80" w14:textId="77777777" w:rsidR="00423D65" w:rsidRPr="00B64E68" w:rsidRDefault="00423D65" w:rsidP="00423D65">
      <w:pPr>
        <w:spacing w:after="0"/>
        <w:jc w:val="both"/>
        <w:rPr>
          <w:rFonts w:ascii="Times New Roman" w:hAnsi="Times New Roman" w:cs="Times New Roman"/>
          <w:color w:val="FF0000"/>
          <w:sz w:val="24"/>
          <w:szCs w:val="24"/>
        </w:rPr>
      </w:pPr>
    </w:p>
    <w:p w14:paraId="41AD01FB"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ORIENTATION OF NEW GOVERNMENT’S CONSTITUENT MEMBERS</w:t>
      </w:r>
    </w:p>
    <w:p w14:paraId="2531C2CB" w14:textId="29471082"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On March 28, 202</w:t>
      </w:r>
      <w:r w:rsidR="00614380">
        <w:rPr>
          <w:rFonts w:ascii="Times New Roman" w:eastAsia="Times New Roman" w:hAnsi="Times New Roman" w:cs="Times New Roman"/>
          <w:sz w:val="24"/>
          <w:szCs w:val="24"/>
          <w:lang w:val="en-LR" w:eastAsia="en-LR"/>
        </w:rPr>
        <w:t>5</w:t>
      </w:r>
      <w:r w:rsidRPr="00B64E68">
        <w:rPr>
          <w:rFonts w:ascii="Times New Roman" w:eastAsia="Times New Roman" w:hAnsi="Times New Roman" w:cs="Times New Roman"/>
          <w:sz w:val="24"/>
          <w:szCs w:val="24"/>
          <w:lang w:val="en-LR" w:eastAsia="en-LR"/>
        </w:rPr>
        <w:t>, the Liberia Extractive Industries Transparency Initiative (LEITI) Secretariat hosted a pivotal orientation meeting for members of the Multi-Stakeholder Group (MSG). The event was organized to provide newly appointed MSG members with critical insights into the LEITI Act, their roles and responsibilities, and an update on the local implementation process of the Extractive Industries Transparency Initiative (EITI). The orientation marked a significant milestone in ensuring that Liberia remains compliant with EITI standards as it prepares for validation in 2025.</w:t>
      </w:r>
    </w:p>
    <w:p w14:paraId="010A999A" w14:textId="071CEC6B"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The session was presided over by Cllr. T. </w:t>
      </w:r>
      <w:proofErr w:type="spellStart"/>
      <w:r w:rsidRPr="00B64E68">
        <w:rPr>
          <w:rFonts w:ascii="Times New Roman" w:eastAsia="Times New Roman" w:hAnsi="Times New Roman" w:cs="Times New Roman"/>
          <w:sz w:val="24"/>
          <w:szCs w:val="24"/>
          <w:lang w:val="en-LR" w:eastAsia="en-LR"/>
        </w:rPr>
        <w:t>Nagbalee</w:t>
      </w:r>
      <w:proofErr w:type="spellEnd"/>
      <w:r w:rsidRPr="00B64E68">
        <w:rPr>
          <w:rFonts w:ascii="Times New Roman" w:eastAsia="Times New Roman" w:hAnsi="Times New Roman" w:cs="Times New Roman"/>
          <w:sz w:val="24"/>
          <w:szCs w:val="24"/>
          <w:lang w:val="en-LR" w:eastAsia="en-LR"/>
        </w:rPr>
        <w:t xml:space="preserve"> Warner, an esteemed lawyer and the first Head of the LEITI Secretariat. In his address, Cllr. Warner emphasized the MSG’s role in fostering transparency, accountability, and good governance in Liberia’s extractive sector. </w:t>
      </w:r>
      <w:r w:rsidR="00614380">
        <w:rPr>
          <w:rFonts w:ascii="Times New Roman" w:eastAsia="Times New Roman" w:hAnsi="Times New Roman" w:cs="Times New Roman"/>
          <w:sz w:val="24"/>
          <w:szCs w:val="24"/>
          <w:lang w:val="en-LR" w:eastAsia="en-LR"/>
        </w:rPr>
        <w:t xml:space="preserve">The current Head of Secretariat, Mr. Jeffrey </w:t>
      </w:r>
      <w:proofErr w:type="spellStart"/>
      <w:r w:rsidR="00614380">
        <w:rPr>
          <w:rFonts w:ascii="Times New Roman" w:eastAsia="Times New Roman" w:hAnsi="Times New Roman" w:cs="Times New Roman"/>
          <w:sz w:val="24"/>
          <w:szCs w:val="24"/>
          <w:lang w:val="en-LR" w:eastAsia="en-LR"/>
        </w:rPr>
        <w:t>Nukata</w:t>
      </w:r>
      <w:proofErr w:type="spellEnd"/>
      <w:r w:rsidR="00614380">
        <w:rPr>
          <w:rFonts w:ascii="Times New Roman" w:eastAsia="Times New Roman" w:hAnsi="Times New Roman" w:cs="Times New Roman"/>
          <w:sz w:val="24"/>
          <w:szCs w:val="24"/>
          <w:lang w:val="en-LR" w:eastAsia="en-LR"/>
        </w:rPr>
        <w:t xml:space="preserve"> Yates, also graced the meeting and welcomed participants, providing</w:t>
      </w:r>
      <w:r w:rsidRPr="00B64E68">
        <w:rPr>
          <w:rFonts w:ascii="Times New Roman" w:eastAsia="Times New Roman" w:hAnsi="Times New Roman" w:cs="Times New Roman"/>
          <w:sz w:val="24"/>
          <w:szCs w:val="24"/>
          <w:lang w:val="en-LR" w:eastAsia="en-LR"/>
        </w:rPr>
        <w:t xml:space="preserve"> an overview of the progress and challenges facing the LEITI.</w:t>
      </w:r>
    </w:p>
    <w:p w14:paraId="0EB350BC" w14:textId="5877E946"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In his opening remarks, Mr. Jeffrey </w:t>
      </w:r>
      <w:proofErr w:type="spellStart"/>
      <w:r w:rsidRPr="00B64E68">
        <w:rPr>
          <w:rFonts w:ascii="Times New Roman" w:eastAsia="Times New Roman" w:hAnsi="Times New Roman" w:cs="Times New Roman"/>
          <w:sz w:val="24"/>
          <w:szCs w:val="24"/>
          <w:lang w:val="en-LR" w:eastAsia="en-LR"/>
        </w:rPr>
        <w:t>Nukata</w:t>
      </w:r>
      <w:proofErr w:type="spellEnd"/>
      <w:r w:rsidRPr="00B64E68">
        <w:rPr>
          <w:rFonts w:ascii="Times New Roman" w:eastAsia="Times New Roman" w:hAnsi="Times New Roman" w:cs="Times New Roman"/>
          <w:sz w:val="24"/>
          <w:szCs w:val="24"/>
          <w:lang w:val="en-LR" w:eastAsia="en-LR"/>
        </w:rPr>
        <w:t xml:space="preserve"> Yates expressed gratitude to the new and returning MSG members for their commitment to advancing </w:t>
      </w:r>
      <w:r w:rsidR="00063EE9">
        <w:rPr>
          <w:rFonts w:ascii="Times New Roman" w:eastAsia="Times New Roman" w:hAnsi="Times New Roman" w:cs="Times New Roman"/>
          <w:sz w:val="24"/>
          <w:szCs w:val="24"/>
          <w:lang w:val="en-LR" w:eastAsia="en-LR"/>
        </w:rPr>
        <w:t>LEITI's objectives</w:t>
      </w:r>
      <w:r w:rsidRPr="00B64E68">
        <w:rPr>
          <w:rFonts w:ascii="Times New Roman" w:eastAsia="Times New Roman" w:hAnsi="Times New Roman" w:cs="Times New Roman"/>
          <w:sz w:val="24"/>
          <w:szCs w:val="24"/>
          <w:lang w:val="en-LR" w:eastAsia="en-LR"/>
        </w:rPr>
        <w:t>. He highlighted the importance of their role in driving the country’s compliance with EITI standards and maintaining Liberia’s reputation as a champion of transparency in the extractive industries.</w:t>
      </w:r>
    </w:p>
    <w:p w14:paraId="102D0116" w14:textId="2683EC4A"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Mr. Yates provided an update on Liberia’s EITI implementation, outlining key achievements and challenges. Among </w:t>
      </w:r>
      <w:r w:rsidR="00063EE9">
        <w:rPr>
          <w:rFonts w:ascii="Times New Roman" w:eastAsia="Times New Roman" w:hAnsi="Times New Roman" w:cs="Times New Roman"/>
          <w:sz w:val="24"/>
          <w:szCs w:val="24"/>
          <w:lang w:val="en-LR" w:eastAsia="en-LR"/>
        </w:rPr>
        <w:t>his achievements were</w:t>
      </w:r>
      <w:r w:rsidRPr="00B64E68">
        <w:rPr>
          <w:rFonts w:ascii="Times New Roman" w:eastAsia="Times New Roman" w:hAnsi="Times New Roman" w:cs="Times New Roman"/>
          <w:sz w:val="24"/>
          <w:szCs w:val="24"/>
          <w:lang w:val="en-LR" w:eastAsia="en-LR"/>
        </w:rPr>
        <w:t xml:space="preserve"> improvements in data collection and reporting, enhanced public awareness of resource governance issues, and strengthened stakeholder collaboration. However, he also </w:t>
      </w:r>
      <w:r w:rsidR="00063EE9">
        <w:rPr>
          <w:rFonts w:ascii="Times New Roman" w:eastAsia="Times New Roman" w:hAnsi="Times New Roman" w:cs="Times New Roman"/>
          <w:sz w:val="24"/>
          <w:szCs w:val="24"/>
          <w:lang w:val="en-LR" w:eastAsia="en-LR"/>
        </w:rPr>
        <w:t>highlighted significant challenges, including limited funding, capacity gaps, and the need for stronger</w:t>
      </w:r>
      <w:r w:rsidRPr="00B64E68">
        <w:rPr>
          <w:rFonts w:ascii="Times New Roman" w:eastAsia="Times New Roman" w:hAnsi="Times New Roman" w:cs="Times New Roman"/>
          <w:sz w:val="24"/>
          <w:szCs w:val="24"/>
          <w:lang w:val="en-LR" w:eastAsia="en-LR"/>
        </w:rPr>
        <w:t xml:space="preserve"> government support.</w:t>
      </w:r>
    </w:p>
    <w:p w14:paraId="298F5E3B" w14:textId="0898B3E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He called on MSG members to actively </w:t>
      </w:r>
      <w:r w:rsidR="00063EE9">
        <w:rPr>
          <w:rFonts w:ascii="Times New Roman" w:eastAsia="Times New Roman" w:hAnsi="Times New Roman" w:cs="Times New Roman"/>
          <w:sz w:val="24"/>
          <w:szCs w:val="24"/>
          <w:lang w:val="en-LR" w:eastAsia="en-LR"/>
        </w:rPr>
        <w:t>address</w:t>
      </w:r>
      <w:r w:rsidRPr="00B64E68">
        <w:rPr>
          <w:rFonts w:ascii="Times New Roman" w:eastAsia="Times New Roman" w:hAnsi="Times New Roman" w:cs="Times New Roman"/>
          <w:sz w:val="24"/>
          <w:szCs w:val="24"/>
          <w:lang w:val="en-LR" w:eastAsia="en-LR"/>
        </w:rPr>
        <w:t xml:space="preserve"> these challenges and reaffirmed the Secretariat’s commitment to supporting their efforts. Mr. Yates further underscored the importance of the </w:t>
      </w:r>
      <w:r w:rsidR="00063EE9">
        <w:rPr>
          <w:rFonts w:ascii="Times New Roman" w:eastAsia="Times New Roman" w:hAnsi="Times New Roman" w:cs="Times New Roman"/>
          <w:sz w:val="24"/>
          <w:szCs w:val="24"/>
          <w:lang w:val="en-LR" w:eastAsia="en-LR"/>
        </w:rPr>
        <w:t>2025 validation process</w:t>
      </w:r>
      <w:r w:rsidRPr="00B64E68">
        <w:rPr>
          <w:rFonts w:ascii="Times New Roman" w:eastAsia="Times New Roman" w:hAnsi="Times New Roman" w:cs="Times New Roman"/>
          <w:sz w:val="24"/>
          <w:szCs w:val="24"/>
          <w:lang w:val="en-LR" w:eastAsia="en-LR"/>
        </w:rPr>
        <w:t>, urging members to work collaboratively to ensure Liberia’s compliance with EITI standards.</w:t>
      </w:r>
    </w:p>
    <w:p w14:paraId="7C1EC639" w14:textId="22D55EB9"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The orientation meeting was convened in response to recent changes in the </w:t>
      </w:r>
      <w:r w:rsidR="00063EE9">
        <w:rPr>
          <w:rFonts w:ascii="Times New Roman" w:eastAsia="Times New Roman" w:hAnsi="Times New Roman" w:cs="Times New Roman"/>
          <w:sz w:val="24"/>
          <w:szCs w:val="24"/>
          <w:lang w:val="en-LR" w:eastAsia="en-LR"/>
        </w:rPr>
        <w:t xml:space="preserve">MSG's composition following new government appointments </w:t>
      </w:r>
      <w:r w:rsidRPr="00B64E68">
        <w:rPr>
          <w:rFonts w:ascii="Times New Roman" w:eastAsia="Times New Roman" w:hAnsi="Times New Roman" w:cs="Times New Roman"/>
          <w:sz w:val="24"/>
          <w:szCs w:val="24"/>
          <w:lang w:val="en-LR" w:eastAsia="en-LR"/>
        </w:rPr>
        <w:t>after the 2023 national elections. Its primary objectives were to:</w:t>
      </w:r>
    </w:p>
    <w:p w14:paraId="43A77786" w14:textId="77777777" w:rsidR="00423D65" w:rsidRPr="00B64E68" w:rsidRDefault="00423D65" w:rsidP="00423D6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Familiarize new MSG members with the LEITI Act and the principles of the EITI.</w:t>
      </w:r>
    </w:p>
    <w:p w14:paraId="0AA126D3" w14:textId="77777777" w:rsidR="00423D65" w:rsidRPr="00B64E68" w:rsidRDefault="00423D65" w:rsidP="00423D6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Clarify the roles and responsibilities of the MSG in promoting transparency and accountability in the extractive sector.</w:t>
      </w:r>
    </w:p>
    <w:p w14:paraId="635B29A4" w14:textId="77777777" w:rsidR="00423D65" w:rsidRPr="00B64E68" w:rsidRDefault="00423D65" w:rsidP="00423D6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lastRenderedPageBreak/>
        <w:t>Provide an update on Liberia’s EITI implementation, including progress, challenges, and opportunities.</w:t>
      </w:r>
    </w:p>
    <w:p w14:paraId="3B59733D" w14:textId="3AF04944" w:rsidR="00423D65" w:rsidRPr="00B64E68" w:rsidRDefault="00423D65" w:rsidP="00423D65">
      <w:pPr>
        <w:numPr>
          <w:ilvl w:val="0"/>
          <w:numId w:val="14"/>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 xml:space="preserve">Strengthen the capacity of MSG members </w:t>
      </w:r>
      <w:r w:rsidR="00063EE9">
        <w:rPr>
          <w:rFonts w:ascii="Times New Roman" w:eastAsia="Times New Roman" w:hAnsi="Times New Roman" w:cs="Times New Roman"/>
          <w:sz w:val="24"/>
          <w:szCs w:val="24"/>
          <w:lang w:val="en-LR" w:eastAsia="en-LR"/>
        </w:rPr>
        <w:t>to contribute to the LEITI process effectively</w:t>
      </w:r>
      <w:r w:rsidRPr="00B64E68">
        <w:rPr>
          <w:rFonts w:ascii="Times New Roman" w:eastAsia="Times New Roman" w:hAnsi="Times New Roman" w:cs="Times New Roman"/>
          <w:sz w:val="24"/>
          <w:szCs w:val="24"/>
          <w:lang w:val="en-LR" w:eastAsia="en-LR"/>
        </w:rPr>
        <w:t>.</w:t>
      </w:r>
    </w:p>
    <w:p w14:paraId="71A6ABE5" w14:textId="77777777"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sz w:val="24"/>
          <w:szCs w:val="24"/>
          <w:lang w:val="en-LR" w:eastAsia="en-LR"/>
        </w:rPr>
        <w:t>The orientation featured a series of presentations and discussions led by experienced facilitators. Key highlights included:</w:t>
      </w:r>
    </w:p>
    <w:p w14:paraId="221D6E00" w14:textId="6A546794" w:rsidR="00423D65" w:rsidRPr="00B64E68" w:rsidRDefault="00423D65" w:rsidP="00423D65">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Overview of the LEITI Act:</w:t>
      </w:r>
      <w:r w:rsidRPr="00B64E68">
        <w:rPr>
          <w:rFonts w:ascii="Times New Roman" w:eastAsia="Times New Roman" w:hAnsi="Times New Roman" w:cs="Times New Roman"/>
          <w:sz w:val="24"/>
          <w:szCs w:val="24"/>
          <w:lang w:val="en-LR" w:eastAsia="en-LR"/>
        </w:rPr>
        <w:t xml:space="preserve"> Cllr. T. </w:t>
      </w:r>
      <w:proofErr w:type="spellStart"/>
      <w:r w:rsidRPr="00B64E68">
        <w:rPr>
          <w:rFonts w:ascii="Times New Roman" w:eastAsia="Times New Roman" w:hAnsi="Times New Roman" w:cs="Times New Roman"/>
          <w:sz w:val="24"/>
          <w:szCs w:val="24"/>
          <w:lang w:val="en-LR" w:eastAsia="en-LR"/>
        </w:rPr>
        <w:t>Nagbalee</w:t>
      </w:r>
      <w:proofErr w:type="spellEnd"/>
      <w:r w:rsidRPr="00B64E68">
        <w:rPr>
          <w:rFonts w:ascii="Times New Roman" w:eastAsia="Times New Roman" w:hAnsi="Times New Roman" w:cs="Times New Roman"/>
          <w:sz w:val="24"/>
          <w:szCs w:val="24"/>
          <w:lang w:val="en-LR" w:eastAsia="en-LR"/>
        </w:rPr>
        <w:t xml:space="preserve"> Warner provided an in-depth overview of the LEITI Act, emphasizing its significance as the legal framework for promoting transparency and accountability in Liberia’s extractive industries. He explained </w:t>
      </w:r>
      <w:r w:rsidR="00063EE9">
        <w:rPr>
          <w:rFonts w:ascii="Times New Roman" w:eastAsia="Times New Roman" w:hAnsi="Times New Roman" w:cs="Times New Roman"/>
          <w:sz w:val="24"/>
          <w:szCs w:val="24"/>
          <w:lang w:val="en-LR" w:eastAsia="en-LR"/>
        </w:rPr>
        <w:t xml:space="preserve">LEITI's mandate and the MSG's critical role </w:t>
      </w:r>
      <w:r w:rsidRPr="00B64E68">
        <w:rPr>
          <w:rFonts w:ascii="Times New Roman" w:eastAsia="Times New Roman" w:hAnsi="Times New Roman" w:cs="Times New Roman"/>
          <w:sz w:val="24"/>
          <w:szCs w:val="24"/>
          <w:lang w:val="en-LR" w:eastAsia="en-LR"/>
        </w:rPr>
        <w:t>in ensuring compliance with EITI standards.</w:t>
      </w:r>
    </w:p>
    <w:p w14:paraId="5E11A893" w14:textId="77777777" w:rsidR="00423D65" w:rsidRPr="00B64E68" w:rsidRDefault="00423D65" w:rsidP="00423D65">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hAnsi="Times New Roman" w:cs="Times New Roman"/>
          <w:noProof/>
          <w:color w:val="FF0000"/>
          <w:sz w:val="24"/>
          <w:szCs w:val="24"/>
        </w:rPr>
        <w:drawing>
          <wp:anchor distT="0" distB="0" distL="114300" distR="114300" simplePos="0" relativeHeight="251694080" behindDoc="1" locked="0" layoutInCell="1" allowOverlap="1" wp14:anchorId="1FF82E8C" wp14:editId="1D65A3B7">
            <wp:simplePos x="0" y="0"/>
            <wp:positionH relativeFrom="column">
              <wp:posOffset>-292100</wp:posOffset>
            </wp:positionH>
            <wp:positionV relativeFrom="paragraph">
              <wp:posOffset>463550</wp:posOffset>
            </wp:positionV>
            <wp:extent cx="2984500" cy="5302250"/>
            <wp:effectExtent l="0" t="0" r="6350" b="0"/>
            <wp:wrapTight wrapText="bothSides">
              <wp:wrapPolygon edited="0">
                <wp:start x="0" y="0"/>
                <wp:lineTo x="0" y="21497"/>
                <wp:lineTo x="21508" y="21497"/>
                <wp:lineTo x="21508" y="0"/>
                <wp:lineTo x="0" y="0"/>
              </wp:wrapPolygon>
            </wp:wrapTight>
            <wp:docPr id="1491110624"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4500" cy="530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E68">
        <w:rPr>
          <w:rFonts w:ascii="Times New Roman" w:eastAsia="Times New Roman" w:hAnsi="Times New Roman" w:cs="Times New Roman"/>
          <w:b/>
          <w:bCs/>
          <w:sz w:val="24"/>
          <w:szCs w:val="24"/>
          <w:lang w:val="en-LR" w:eastAsia="en-LR"/>
        </w:rPr>
        <w:t>Roles and Responsibilities of the MSG:</w:t>
      </w:r>
      <w:r w:rsidRPr="00B64E68">
        <w:rPr>
          <w:rFonts w:ascii="Times New Roman" w:eastAsia="Times New Roman" w:hAnsi="Times New Roman" w:cs="Times New Roman"/>
          <w:sz w:val="24"/>
          <w:szCs w:val="24"/>
          <w:lang w:val="en-LR" w:eastAsia="en-LR"/>
        </w:rPr>
        <w:t xml:space="preserve"> Participants were briefed on the structure, composition, and functions of the MSG. The presentation underscored the importance of the tripartite partnership among government, civil society, and industry representatives in fostering inclusive decision-making and promoting good governance.</w:t>
      </w:r>
    </w:p>
    <w:p w14:paraId="667D008B" w14:textId="67AB89CA" w:rsidR="00423D65" w:rsidRPr="00B64E68" w:rsidRDefault="00423D65" w:rsidP="00423D65">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Progress and Challenges in EITI Implementation:</w:t>
      </w:r>
      <w:r w:rsidRPr="00B64E68">
        <w:rPr>
          <w:rFonts w:ascii="Times New Roman" w:eastAsia="Times New Roman" w:hAnsi="Times New Roman" w:cs="Times New Roman"/>
          <w:sz w:val="24"/>
          <w:szCs w:val="24"/>
          <w:lang w:val="en-LR" w:eastAsia="en-LR"/>
        </w:rPr>
        <w:t xml:space="preserve"> Mr. Jeffrey </w:t>
      </w:r>
      <w:proofErr w:type="spellStart"/>
      <w:r w:rsidRPr="00B64E68">
        <w:rPr>
          <w:rFonts w:ascii="Times New Roman" w:eastAsia="Times New Roman" w:hAnsi="Times New Roman" w:cs="Times New Roman"/>
          <w:sz w:val="24"/>
          <w:szCs w:val="24"/>
          <w:lang w:val="en-LR" w:eastAsia="en-LR"/>
        </w:rPr>
        <w:t>Nukata</w:t>
      </w:r>
      <w:proofErr w:type="spellEnd"/>
      <w:r w:rsidRPr="00B64E68">
        <w:rPr>
          <w:rFonts w:ascii="Times New Roman" w:eastAsia="Times New Roman" w:hAnsi="Times New Roman" w:cs="Times New Roman"/>
          <w:sz w:val="24"/>
          <w:szCs w:val="24"/>
          <w:lang w:val="en-LR" w:eastAsia="en-LR"/>
        </w:rPr>
        <w:t xml:space="preserve"> Yates provided a detailed update on Liberia’s EITI implementation. He highlighted key milestones, </w:t>
      </w:r>
      <w:r w:rsidR="00063EE9">
        <w:rPr>
          <w:rFonts w:ascii="Times New Roman" w:eastAsia="Times New Roman" w:hAnsi="Times New Roman" w:cs="Times New Roman"/>
          <w:sz w:val="24"/>
          <w:szCs w:val="24"/>
          <w:lang w:val="en-LR" w:eastAsia="en-LR"/>
        </w:rPr>
        <w:t>including the publication of recent EITI reports, improved</w:t>
      </w:r>
      <w:r w:rsidRPr="00B64E68">
        <w:rPr>
          <w:rFonts w:ascii="Times New Roman" w:eastAsia="Times New Roman" w:hAnsi="Times New Roman" w:cs="Times New Roman"/>
          <w:sz w:val="24"/>
          <w:szCs w:val="24"/>
          <w:lang w:val="en-LR" w:eastAsia="en-LR"/>
        </w:rPr>
        <w:t xml:space="preserve"> stakeholder engagement, and ongoing capacity-building initiatives. However, he also outlined challenges, including resource constraints, data discrepancies, and the need for more effective stakeholder collaboration.</w:t>
      </w:r>
    </w:p>
    <w:p w14:paraId="648AB8F9" w14:textId="77777777" w:rsidR="00423D65" w:rsidRPr="00B64E68" w:rsidRDefault="00423D65" w:rsidP="00423D65">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eastAsia="Times New Roman" w:hAnsi="Times New Roman" w:cs="Times New Roman"/>
          <w:b/>
          <w:bCs/>
          <w:sz w:val="24"/>
          <w:szCs w:val="24"/>
          <w:lang w:val="en-LR" w:eastAsia="en-LR"/>
        </w:rPr>
        <w:t>Preparing for Validation in 2025:</w:t>
      </w:r>
      <w:r w:rsidRPr="00B64E68">
        <w:rPr>
          <w:rFonts w:ascii="Times New Roman" w:eastAsia="Times New Roman" w:hAnsi="Times New Roman" w:cs="Times New Roman"/>
          <w:sz w:val="24"/>
          <w:szCs w:val="24"/>
          <w:lang w:val="en-LR" w:eastAsia="en-LR"/>
        </w:rPr>
        <w:t xml:space="preserve"> Participants discussed the importance of the upcoming validation process and its implications for Liberia’s standing in the global EITI community. The Secretariat emphasized timely and accurate reporting, effective stakeholder engagement, and continuous capacity building to ensure a successful validation.</w:t>
      </w:r>
    </w:p>
    <w:p w14:paraId="38E7188D" w14:textId="4F72335C" w:rsidR="00423D65" w:rsidRPr="00B64E68" w:rsidRDefault="00423D65" w:rsidP="00423D65">
      <w:pPr>
        <w:spacing w:before="100" w:beforeAutospacing="1" w:after="100" w:afterAutospacing="1" w:line="240" w:lineRule="auto"/>
        <w:jc w:val="both"/>
        <w:rPr>
          <w:rFonts w:ascii="Times New Roman" w:eastAsia="Times New Roman" w:hAnsi="Times New Roman" w:cs="Times New Roman"/>
          <w:sz w:val="24"/>
          <w:szCs w:val="24"/>
          <w:lang w:val="en-LR" w:eastAsia="en-LR"/>
        </w:rPr>
      </w:pPr>
      <w:r w:rsidRPr="00B64E68">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1CE1FE92" wp14:editId="24EFE9A7">
                <wp:simplePos x="0" y="0"/>
                <wp:positionH relativeFrom="column">
                  <wp:posOffset>-292100</wp:posOffset>
                </wp:positionH>
                <wp:positionV relativeFrom="paragraph">
                  <wp:posOffset>1257300</wp:posOffset>
                </wp:positionV>
                <wp:extent cx="2984500" cy="635"/>
                <wp:effectExtent l="0" t="0" r="0" b="0"/>
                <wp:wrapTight wrapText="bothSides">
                  <wp:wrapPolygon edited="0">
                    <wp:start x="0" y="0"/>
                    <wp:lineTo x="0" y="21600"/>
                    <wp:lineTo x="21600" y="21600"/>
                    <wp:lineTo x="21600" y="0"/>
                  </wp:wrapPolygon>
                </wp:wrapTight>
                <wp:docPr id="400607603" name="Text Box 1"/>
                <wp:cNvGraphicFramePr/>
                <a:graphic xmlns:a="http://schemas.openxmlformats.org/drawingml/2006/main">
                  <a:graphicData uri="http://schemas.microsoft.com/office/word/2010/wordprocessingShape">
                    <wps:wsp>
                      <wps:cNvSpPr txBox="1"/>
                      <wps:spPr>
                        <a:xfrm>
                          <a:off x="0" y="0"/>
                          <a:ext cx="2984500" cy="635"/>
                        </a:xfrm>
                        <a:prstGeom prst="rect">
                          <a:avLst/>
                        </a:prstGeom>
                        <a:solidFill>
                          <a:prstClr val="white"/>
                        </a:solidFill>
                        <a:ln>
                          <a:noFill/>
                        </a:ln>
                      </wps:spPr>
                      <wps:txbx>
                        <w:txbxContent>
                          <w:p w14:paraId="0BF0D3E6" w14:textId="77777777" w:rsidR="00423D65" w:rsidRPr="000C4BAE" w:rsidRDefault="00423D65" w:rsidP="00423D65">
                            <w:pPr>
                              <w:pStyle w:val="Caption"/>
                              <w:rPr>
                                <w:rFonts w:ascii="Gill Sans MT" w:hAnsi="Gill Sans MT" w:cs="Times New Roman"/>
                                <w:b/>
                                <w:bCs/>
                                <w:color w:val="auto"/>
                                <w:sz w:val="24"/>
                                <w:szCs w:val="24"/>
                              </w:rPr>
                            </w:pPr>
                            <w:r w:rsidRPr="000C4BAE">
                              <w:rPr>
                                <w:rFonts w:ascii="Gill Sans MT" w:hAnsi="Gill Sans MT"/>
                                <w:b/>
                                <w:bCs/>
                                <w:color w:val="auto"/>
                              </w:rPr>
                              <w:t xml:space="preserve">Cllr. </w:t>
                            </w:r>
                            <w:proofErr w:type="spellStart"/>
                            <w:r w:rsidRPr="000C4BAE">
                              <w:rPr>
                                <w:rFonts w:ascii="Gill Sans MT" w:hAnsi="Gill Sans MT"/>
                                <w:b/>
                                <w:bCs/>
                                <w:color w:val="auto"/>
                              </w:rPr>
                              <w:t>Nagbalee</w:t>
                            </w:r>
                            <w:proofErr w:type="spellEnd"/>
                            <w:r w:rsidRPr="000C4BAE">
                              <w:rPr>
                                <w:rFonts w:ascii="Gill Sans MT" w:hAnsi="Gill Sans MT"/>
                                <w:b/>
                                <w:bCs/>
                                <w:color w:val="auto"/>
                              </w:rPr>
                              <w:t xml:space="preserve"> Warner, the first Head of the LEITI Secretariat, facilitated the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E1FE92" id="_x0000_s1038" type="#_x0000_t202" style="position:absolute;left:0;text-align:left;margin-left:-23pt;margin-top:99pt;width:23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" stroked="f">
                <v:textbox style="mso-fit-shape-to-text:t" inset="0,0,0,0">
                  <w:txbxContent>
                    <w:p w14:paraId="0BF0D3E6" w14:textId="77777777" w:rsidR="00423D65" w:rsidRPr="000C4BAE" w:rsidRDefault="00423D65" w:rsidP="00423D65">
                      <w:pPr>
                        <w:pStyle w:val="Caption"/>
                        <w:rPr>
                          <w:rFonts w:ascii="Gill Sans MT" w:hAnsi="Gill Sans MT" w:cs="Times New Roman"/>
                          <w:b/>
                          <w:bCs/>
                          <w:color w:val="auto"/>
                          <w:sz w:val="24"/>
                          <w:szCs w:val="24"/>
                        </w:rPr>
                      </w:pPr>
                      <w:r w:rsidRPr="000C4BAE">
                        <w:rPr>
                          <w:rFonts w:ascii="Gill Sans MT" w:hAnsi="Gill Sans MT"/>
                          <w:b/>
                          <w:bCs/>
                          <w:color w:val="auto"/>
                        </w:rPr>
                        <w:t xml:space="preserve">Cllr. </w:t>
                      </w:r>
                      <w:proofErr w:type="spellStart"/>
                      <w:r w:rsidRPr="000C4BAE">
                        <w:rPr>
                          <w:rFonts w:ascii="Gill Sans MT" w:hAnsi="Gill Sans MT"/>
                          <w:b/>
                          <w:bCs/>
                          <w:color w:val="auto"/>
                        </w:rPr>
                        <w:t>Nagbalee</w:t>
                      </w:r>
                      <w:proofErr w:type="spellEnd"/>
                      <w:r w:rsidRPr="000C4BAE">
                        <w:rPr>
                          <w:rFonts w:ascii="Gill Sans MT" w:hAnsi="Gill Sans MT"/>
                          <w:b/>
                          <w:bCs/>
                          <w:color w:val="auto"/>
                        </w:rPr>
                        <w:t xml:space="preserve"> Warner, the first Head of the LEITI Secretariat, facilitated the meeting</w:t>
                      </w:r>
                    </w:p>
                  </w:txbxContent>
                </v:textbox>
                <w10:wrap type="tight"/>
              </v:shape>
            </w:pict>
          </mc:Fallback>
        </mc:AlternateContent>
      </w:r>
      <w:r w:rsidRPr="00B64E68">
        <w:rPr>
          <w:rFonts w:ascii="Times New Roman" w:eastAsia="Times New Roman" w:hAnsi="Times New Roman" w:cs="Times New Roman"/>
          <w:sz w:val="24"/>
          <w:szCs w:val="24"/>
          <w:lang w:val="en-LR" w:eastAsia="en-LR"/>
        </w:rPr>
        <w:t xml:space="preserve">The orientation meeting provided MSG members with a solid foundation </w:t>
      </w:r>
      <w:r w:rsidR="00063EE9">
        <w:rPr>
          <w:rFonts w:ascii="Times New Roman" w:eastAsia="Times New Roman" w:hAnsi="Times New Roman" w:cs="Times New Roman"/>
          <w:sz w:val="24"/>
          <w:szCs w:val="24"/>
          <w:lang w:val="en-LR" w:eastAsia="en-LR"/>
        </w:rPr>
        <w:t>for effectively contributing to Liberia’s EITI process</w:t>
      </w:r>
      <w:r w:rsidRPr="00B64E68">
        <w:rPr>
          <w:rFonts w:ascii="Times New Roman" w:eastAsia="Times New Roman" w:hAnsi="Times New Roman" w:cs="Times New Roman"/>
          <w:sz w:val="24"/>
          <w:szCs w:val="24"/>
          <w:lang w:val="en-LR" w:eastAsia="en-LR"/>
        </w:rPr>
        <w:t>. The event highlighted the critical role of the MSG in promoting transparency and accountability in the extractive sector and reinforced the Secretariat’s commitment to supporting their efforts.</w:t>
      </w:r>
    </w:p>
    <w:p w14:paraId="14A5A8E0" w14:textId="77777777" w:rsidR="00423D65" w:rsidRPr="00B64E68" w:rsidRDefault="00423D65" w:rsidP="00423D65">
      <w:pPr>
        <w:pStyle w:val="NoSpacing"/>
        <w:jc w:val="both"/>
        <w:rPr>
          <w:rFonts w:ascii="Times New Roman" w:hAnsi="Times New Roman" w:cs="Times New Roman"/>
          <w:color w:val="FF0000"/>
          <w:sz w:val="24"/>
          <w:szCs w:val="24"/>
        </w:rPr>
      </w:pPr>
    </w:p>
    <w:p w14:paraId="324C5013" w14:textId="77777777" w:rsidR="00423D65" w:rsidRPr="00B64E68" w:rsidRDefault="00423D65" w:rsidP="00423D65">
      <w:pPr>
        <w:pStyle w:val="NoSpacing"/>
        <w:jc w:val="both"/>
        <w:rPr>
          <w:rFonts w:ascii="Times New Roman" w:hAnsi="Times New Roman" w:cs="Times New Roman"/>
          <w:color w:val="FF0000"/>
          <w:sz w:val="24"/>
          <w:szCs w:val="24"/>
        </w:rPr>
      </w:pPr>
    </w:p>
    <w:p w14:paraId="34A8B34F" w14:textId="77777777" w:rsidR="00423D65" w:rsidRPr="00B64E68" w:rsidRDefault="00423D65" w:rsidP="00423D65">
      <w:pPr>
        <w:pStyle w:val="NoSpacing"/>
        <w:jc w:val="both"/>
        <w:rPr>
          <w:rFonts w:ascii="Times New Roman" w:hAnsi="Times New Roman" w:cs="Times New Roman"/>
          <w:color w:val="FF0000"/>
          <w:sz w:val="24"/>
          <w:szCs w:val="24"/>
        </w:rPr>
      </w:pPr>
    </w:p>
    <w:p w14:paraId="46F39F56" w14:textId="77777777" w:rsidR="00423D65" w:rsidRPr="00B64E68" w:rsidRDefault="00423D65" w:rsidP="00423D65">
      <w:pPr>
        <w:pStyle w:val="NoSpacing"/>
        <w:jc w:val="both"/>
        <w:rPr>
          <w:rFonts w:ascii="Times New Roman" w:hAnsi="Times New Roman" w:cs="Times New Roman"/>
          <w:color w:val="FF0000"/>
          <w:sz w:val="24"/>
          <w:szCs w:val="24"/>
        </w:rPr>
      </w:pPr>
    </w:p>
    <w:p w14:paraId="0B348495" w14:textId="77777777" w:rsidR="00423D65" w:rsidRPr="00B64E68" w:rsidRDefault="00423D65" w:rsidP="00423D65">
      <w:pPr>
        <w:pStyle w:val="NoSpacing"/>
        <w:jc w:val="both"/>
        <w:rPr>
          <w:rFonts w:ascii="Times New Roman" w:hAnsi="Times New Roman" w:cs="Times New Roman"/>
          <w:color w:val="FF0000"/>
          <w:sz w:val="24"/>
          <w:szCs w:val="24"/>
        </w:rPr>
      </w:pPr>
    </w:p>
    <w:p w14:paraId="78CEEF8A" w14:textId="77777777" w:rsidR="00423D65" w:rsidRPr="00B64E68" w:rsidRDefault="00423D65" w:rsidP="00423D65">
      <w:pPr>
        <w:pStyle w:val="NoSpacing"/>
        <w:jc w:val="both"/>
        <w:rPr>
          <w:rFonts w:ascii="Times New Roman" w:hAnsi="Times New Roman" w:cs="Times New Roman"/>
          <w:color w:val="FF0000"/>
          <w:sz w:val="24"/>
          <w:szCs w:val="24"/>
        </w:rPr>
      </w:pPr>
    </w:p>
    <w:p w14:paraId="35C86FCE" w14:textId="77777777" w:rsidR="00423D65" w:rsidRPr="00B64E68" w:rsidRDefault="00423D65" w:rsidP="00423D65">
      <w:pPr>
        <w:pStyle w:val="NoSpacing"/>
        <w:jc w:val="both"/>
        <w:rPr>
          <w:rFonts w:ascii="Times New Roman" w:hAnsi="Times New Roman" w:cs="Times New Roman"/>
          <w:color w:val="FF0000"/>
          <w:sz w:val="24"/>
          <w:szCs w:val="24"/>
        </w:rPr>
      </w:pPr>
    </w:p>
    <w:p w14:paraId="6575F040" w14:textId="6A2F8D8D" w:rsidR="00423D65" w:rsidRPr="00B64E68" w:rsidRDefault="00423D65" w:rsidP="00423D65">
      <w:pPr>
        <w:spacing w:after="0"/>
        <w:jc w:val="both"/>
        <w:rPr>
          <w:rFonts w:ascii="Times New Roman" w:hAnsi="Times New Roman" w:cs="Times New Roman"/>
          <w:sz w:val="24"/>
          <w:szCs w:val="24"/>
        </w:rPr>
      </w:pPr>
      <w:r w:rsidRPr="00B64E68">
        <w:rPr>
          <w:rFonts w:ascii="Times New Roman" w:hAnsi="Times New Roman" w:cs="Times New Roman"/>
          <w:b/>
          <w:i/>
          <w:sz w:val="24"/>
          <w:szCs w:val="24"/>
        </w:rPr>
        <w:t>Meetings</w:t>
      </w:r>
      <w:r w:rsidRPr="00B64E68">
        <w:rPr>
          <w:rFonts w:ascii="Times New Roman" w:hAnsi="Times New Roman" w:cs="Times New Roman"/>
          <w:sz w:val="24"/>
          <w:szCs w:val="24"/>
        </w:rPr>
        <w:t>—</w:t>
      </w:r>
      <w:r w:rsidR="00063EE9">
        <w:rPr>
          <w:rFonts w:ascii="Times New Roman" w:hAnsi="Times New Roman" w:cs="Times New Roman"/>
          <w:sz w:val="24"/>
          <w:szCs w:val="24"/>
        </w:rPr>
        <w:t>the MSG conducts its regular meetings quarterly</w:t>
      </w:r>
      <w:r w:rsidRPr="00B64E68">
        <w:rPr>
          <w:rFonts w:ascii="Times New Roman" w:hAnsi="Times New Roman" w:cs="Times New Roman"/>
          <w:sz w:val="24"/>
          <w:szCs w:val="24"/>
        </w:rPr>
        <w:t>. However, where urgency is required, emergency meetings are held. Additionally, matters requiring scrutiny are referred to specific committees</w:t>
      </w:r>
      <w:r w:rsidR="00063EE9">
        <w:rPr>
          <w:rFonts w:ascii="Times New Roman" w:hAnsi="Times New Roman" w:cs="Times New Roman"/>
          <w:sz w:val="24"/>
          <w:szCs w:val="24"/>
        </w:rPr>
        <w:t>,</w:t>
      </w:r>
      <w:r w:rsidRPr="00B64E68">
        <w:rPr>
          <w:rFonts w:ascii="Times New Roman" w:hAnsi="Times New Roman" w:cs="Times New Roman"/>
          <w:sz w:val="24"/>
          <w:szCs w:val="24"/>
        </w:rPr>
        <w:t xml:space="preserve"> which decide on them and make recommendations to the body. </w:t>
      </w:r>
    </w:p>
    <w:p w14:paraId="788EACDA" w14:textId="77777777" w:rsidR="00423D65" w:rsidRPr="00B64E68" w:rsidRDefault="00423D65" w:rsidP="00423D65">
      <w:pPr>
        <w:spacing w:after="0" w:line="240" w:lineRule="auto"/>
        <w:jc w:val="both"/>
        <w:rPr>
          <w:rFonts w:ascii="Times New Roman" w:hAnsi="Times New Roman" w:cs="Times New Roman"/>
          <w:sz w:val="24"/>
          <w:szCs w:val="24"/>
        </w:rPr>
      </w:pPr>
    </w:p>
    <w:p w14:paraId="148A0CBA"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 xml:space="preserve">During these meetings, issues of concern are discussed and policy decisions are made while the MSG is also briefed by the Head of Secretariat on the status of planned activities and other progress at the Secretariat. Most decisions are reached by consensus, but where consensus cannot be obtained, the body would resort to voting. Observers can contribute to the discussions but are not eligible to vote. </w:t>
      </w:r>
    </w:p>
    <w:p w14:paraId="0F16F3D8" w14:textId="77777777" w:rsidR="00423D65" w:rsidRPr="00B64E68" w:rsidRDefault="00423D65" w:rsidP="00423D65">
      <w:pPr>
        <w:spacing w:after="0" w:line="240" w:lineRule="auto"/>
        <w:jc w:val="both"/>
        <w:rPr>
          <w:rFonts w:ascii="Times New Roman" w:hAnsi="Times New Roman" w:cs="Times New Roman"/>
          <w:sz w:val="24"/>
          <w:szCs w:val="24"/>
        </w:rPr>
      </w:pPr>
    </w:p>
    <w:p w14:paraId="7E9568C0" w14:textId="413601B7" w:rsidR="00423D65" w:rsidRPr="00B64E68" w:rsidRDefault="00423D65" w:rsidP="00423D65">
      <w:pPr>
        <w:jc w:val="both"/>
        <w:rPr>
          <w:rFonts w:ascii="Times New Roman" w:hAnsi="Times New Roman" w:cs="Times New Roman"/>
          <w:sz w:val="24"/>
          <w:szCs w:val="24"/>
        </w:rPr>
      </w:pPr>
      <w:r>
        <w:rPr>
          <w:rFonts w:ascii="Times New Roman" w:hAnsi="Times New Roman" w:cs="Times New Roman"/>
          <w:sz w:val="24"/>
          <w:szCs w:val="24"/>
        </w:rPr>
        <w:t>T</w:t>
      </w:r>
      <w:r w:rsidRPr="00B64E68">
        <w:rPr>
          <w:rFonts w:ascii="Times New Roman" w:hAnsi="Times New Roman" w:cs="Times New Roman"/>
          <w:sz w:val="24"/>
          <w:szCs w:val="24"/>
        </w:rPr>
        <w:t>he MSG in 20</w:t>
      </w:r>
      <w:r w:rsidR="00063EE9">
        <w:rPr>
          <w:rFonts w:ascii="Times New Roman" w:hAnsi="Times New Roman" w:cs="Times New Roman"/>
          <w:sz w:val="24"/>
          <w:szCs w:val="24"/>
        </w:rPr>
        <w:t>25</w:t>
      </w:r>
      <w:r w:rsidRPr="00B64E68">
        <w:rPr>
          <w:rFonts w:ascii="Times New Roman" w:hAnsi="Times New Roman" w:cs="Times New Roman"/>
          <w:sz w:val="24"/>
          <w:szCs w:val="24"/>
        </w:rPr>
        <w:t xml:space="preserve"> had</w:t>
      </w:r>
      <w:r w:rsidR="00063EE9">
        <w:rPr>
          <w:rFonts w:ascii="Times New Roman" w:hAnsi="Times New Roman" w:cs="Times New Roman"/>
          <w:sz w:val="24"/>
          <w:szCs w:val="24"/>
        </w:rPr>
        <w:t xml:space="preserve"> regular and call meetings</w:t>
      </w:r>
      <w:r w:rsidRPr="00B64E68">
        <w:rPr>
          <w:rFonts w:ascii="Times New Roman" w:hAnsi="Times New Roman" w:cs="Times New Roman"/>
          <w:sz w:val="24"/>
          <w:szCs w:val="24"/>
        </w:rPr>
        <w:t>. The LEITI MSG</w:t>
      </w:r>
      <w:r w:rsidR="00063EE9">
        <w:rPr>
          <w:rFonts w:ascii="Times New Roman" w:hAnsi="Times New Roman" w:cs="Times New Roman"/>
          <w:sz w:val="24"/>
          <w:szCs w:val="24"/>
        </w:rPr>
        <w:t>, at the end of 2022, decided to transition from monthly meetings to quarterly meetings, with the option to hold emergency gatherings as needed</w:t>
      </w:r>
      <w:r w:rsidRPr="00B64E68">
        <w:rPr>
          <w:rFonts w:ascii="Times New Roman" w:hAnsi="Times New Roman" w:cs="Times New Roman"/>
          <w:sz w:val="24"/>
          <w:szCs w:val="24"/>
        </w:rPr>
        <w:t xml:space="preserve">. The rationale was to allow senior managers and Government officials to attend these quarterly </w:t>
      </w:r>
      <w:r w:rsidR="00063EE9">
        <w:rPr>
          <w:rFonts w:ascii="Times New Roman" w:hAnsi="Times New Roman" w:cs="Times New Roman"/>
          <w:sz w:val="24"/>
          <w:szCs w:val="24"/>
        </w:rPr>
        <w:t>meetings, given the</w:t>
      </w:r>
      <w:r w:rsidRPr="00B64E68">
        <w:rPr>
          <w:rFonts w:ascii="Times New Roman" w:hAnsi="Times New Roman" w:cs="Times New Roman"/>
          <w:sz w:val="24"/>
          <w:szCs w:val="24"/>
        </w:rPr>
        <w:t xml:space="preserve"> long intervals. All decisions arrived at these sittings were derived through consensus building.</w:t>
      </w:r>
    </w:p>
    <w:p w14:paraId="765953E2" w14:textId="77777777" w:rsidR="00423D65" w:rsidRPr="00B64E68" w:rsidRDefault="00423D65" w:rsidP="00423D65">
      <w:pPr>
        <w:spacing w:after="0" w:line="240" w:lineRule="auto"/>
        <w:jc w:val="both"/>
        <w:rPr>
          <w:rFonts w:ascii="Times New Roman" w:hAnsi="Times New Roman" w:cs="Times New Roman"/>
          <w:sz w:val="24"/>
          <w:szCs w:val="24"/>
        </w:rPr>
      </w:pPr>
    </w:p>
    <w:p w14:paraId="5BF402FB" w14:textId="77777777" w:rsidR="00423D65" w:rsidRPr="00B64E68" w:rsidRDefault="00423D65" w:rsidP="00423D65">
      <w:pPr>
        <w:shd w:val="clear" w:color="auto" w:fill="FFFFFF" w:themeFill="background1"/>
        <w:spacing w:after="0" w:line="240" w:lineRule="auto"/>
        <w:jc w:val="both"/>
        <w:rPr>
          <w:rFonts w:ascii="Times New Roman" w:hAnsi="Times New Roman" w:cs="Times New Roman"/>
          <w:sz w:val="24"/>
          <w:szCs w:val="24"/>
        </w:rPr>
      </w:pPr>
    </w:p>
    <w:p w14:paraId="3B233704" w14:textId="77777777" w:rsidR="00423D65" w:rsidRPr="00B64E68" w:rsidRDefault="00423D65" w:rsidP="00423D65">
      <w:pPr>
        <w:shd w:val="clear" w:color="auto" w:fill="FFFFFF" w:themeFill="background1"/>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Approval by the MSG</w:t>
      </w:r>
    </w:p>
    <w:p w14:paraId="51027A81" w14:textId="77777777" w:rsidR="00423D65" w:rsidRPr="00B64E68" w:rsidRDefault="00423D65" w:rsidP="00423D65">
      <w:pPr>
        <w:jc w:val="both"/>
        <w:rPr>
          <w:rFonts w:ascii="Times New Roman" w:hAnsi="Times New Roman" w:cs="Times New Roman"/>
          <w:sz w:val="24"/>
          <w:szCs w:val="24"/>
        </w:rPr>
      </w:pPr>
    </w:p>
    <w:p w14:paraId="67228FD6" w14:textId="77777777" w:rsidR="00423D65" w:rsidRPr="00B64E68" w:rsidRDefault="00423D65" w:rsidP="00423D65">
      <w:pPr>
        <w:jc w:val="both"/>
        <w:rPr>
          <w:rFonts w:ascii="Times New Roman" w:hAnsi="Times New Roman" w:cs="Times New Roman"/>
          <w:sz w:val="24"/>
          <w:szCs w:val="24"/>
        </w:rPr>
      </w:pPr>
    </w:p>
    <w:p w14:paraId="33F4F0F1"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_____________________________                          Date: ______________________</w:t>
      </w:r>
    </w:p>
    <w:p w14:paraId="56CC0C1D" w14:textId="77777777" w:rsidR="00423D65" w:rsidRPr="00B64E68" w:rsidRDefault="00423D65" w:rsidP="00423D65">
      <w:pPr>
        <w:spacing w:after="0" w:line="240" w:lineRule="auto"/>
        <w:jc w:val="both"/>
        <w:rPr>
          <w:rFonts w:ascii="Times New Roman" w:hAnsi="Times New Roman" w:cs="Times New Roman"/>
          <w:sz w:val="24"/>
          <w:szCs w:val="24"/>
        </w:rPr>
      </w:pPr>
      <w:r w:rsidRPr="00B64E68">
        <w:rPr>
          <w:rFonts w:ascii="Times New Roman" w:hAnsi="Times New Roman" w:cs="Times New Roman"/>
          <w:sz w:val="24"/>
          <w:szCs w:val="24"/>
        </w:rPr>
        <w:t>Proxy - Chair Person / LEITI MSG</w:t>
      </w:r>
    </w:p>
    <w:p w14:paraId="6CF9A812" w14:textId="77777777" w:rsidR="00423D65" w:rsidRPr="00B64E68" w:rsidRDefault="00423D65" w:rsidP="00423D65">
      <w:pPr>
        <w:spacing w:after="0" w:line="240" w:lineRule="auto"/>
        <w:jc w:val="both"/>
        <w:rPr>
          <w:rFonts w:ascii="Times New Roman" w:hAnsi="Times New Roman" w:cs="Times New Roman"/>
          <w:color w:val="FF0000"/>
          <w:sz w:val="24"/>
          <w:szCs w:val="24"/>
        </w:rPr>
      </w:pPr>
    </w:p>
    <w:p w14:paraId="40B1BE30" w14:textId="77777777" w:rsidR="00423D65" w:rsidRPr="00B64E68" w:rsidRDefault="00423D65" w:rsidP="00423D65">
      <w:pPr>
        <w:spacing w:after="0" w:line="240" w:lineRule="auto"/>
        <w:jc w:val="both"/>
        <w:rPr>
          <w:rFonts w:ascii="Times New Roman" w:hAnsi="Times New Roman" w:cs="Times New Roman"/>
          <w:color w:val="FF0000"/>
          <w:sz w:val="24"/>
          <w:szCs w:val="24"/>
        </w:rPr>
      </w:pPr>
    </w:p>
    <w:p w14:paraId="7DDA16D1" w14:textId="77777777" w:rsidR="00423D65" w:rsidRPr="00B64E68" w:rsidRDefault="00423D65" w:rsidP="00423D65">
      <w:pPr>
        <w:spacing w:after="0" w:line="240" w:lineRule="auto"/>
        <w:jc w:val="both"/>
        <w:rPr>
          <w:rFonts w:ascii="Times New Roman" w:hAnsi="Times New Roman" w:cs="Times New Roman"/>
          <w:color w:val="FF0000"/>
          <w:sz w:val="24"/>
          <w:szCs w:val="24"/>
        </w:rPr>
      </w:pPr>
    </w:p>
    <w:p w14:paraId="32AA58E5" w14:textId="77777777" w:rsidR="00423D65" w:rsidRPr="00B64E68" w:rsidRDefault="00423D65" w:rsidP="00423D65">
      <w:pPr>
        <w:spacing w:after="0" w:line="240" w:lineRule="auto"/>
        <w:jc w:val="both"/>
        <w:rPr>
          <w:rFonts w:ascii="Times New Roman" w:hAnsi="Times New Roman" w:cs="Times New Roman"/>
          <w:color w:val="FF0000"/>
          <w:sz w:val="24"/>
          <w:szCs w:val="24"/>
        </w:rPr>
      </w:pPr>
    </w:p>
    <w:p w14:paraId="4C212487" w14:textId="77777777" w:rsidR="00423D65" w:rsidRPr="00B64E68" w:rsidRDefault="00423D65" w:rsidP="00423D65">
      <w:pPr>
        <w:spacing w:after="0" w:line="240" w:lineRule="auto"/>
        <w:jc w:val="both"/>
        <w:rPr>
          <w:rFonts w:ascii="Times New Roman" w:hAnsi="Times New Roman" w:cs="Times New Roman"/>
          <w:color w:val="FF0000"/>
          <w:sz w:val="24"/>
          <w:szCs w:val="24"/>
        </w:rPr>
      </w:pPr>
    </w:p>
    <w:p w14:paraId="0058EFD3" w14:textId="77777777" w:rsidR="00144E98" w:rsidRDefault="00144E98"/>
    <w:sectPr w:rsidR="00144E98" w:rsidSect="00423D65">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8BE29" w14:textId="77777777" w:rsidR="009F3BC8" w:rsidRDefault="009F3BC8" w:rsidP="00F80ADB">
      <w:pPr>
        <w:spacing w:after="0" w:line="240" w:lineRule="auto"/>
      </w:pPr>
      <w:r>
        <w:separator/>
      </w:r>
    </w:p>
  </w:endnote>
  <w:endnote w:type="continuationSeparator" w:id="0">
    <w:p w14:paraId="42A84447" w14:textId="77777777" w:rsidR="009F3BC8" w:rsidRDefault="009F3BC8" w:rsidP="00F8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D62A" w14:textId="77777777" w:rsidR="00222665" w:rsidRDefault="00222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274020"/>
      <w:docPartObj>
        <w:docPartGallery w:val="Page Numbers (Bottom of Page)"/>
        <w:docPartUnique/>
      </w:docPartObj>
    </w:sdtPr>
    <w:sdtEndPr>
      <w:rPr>
        <w:color w:val="808080" w:themeColor="background1" w:themeShade="80"/>
        <w:spacing w:val="60"/>
      </w:rPr>
    </w:sdtEndPr>
    <w:sdtContent>
      <w:p w14:paraId="767AC0FF" w14:textId="77777777" w:rsidR="00423D65" w:rsidRPr="001852AE" w:rsidRDefault="00423D65">
        <w:pPr>
          <w:pStyle w:val="Footer"/>
          <w:pBdr>
            <w:top w:val="single" w:sz="4" w:space="1" w:color="D9D9D9" w:themeColor="background1" w:themeShade="D9"/>
          </w:pBdr>
          <w:rPr>
            <w:rFonts w:ascii="Bradley Hand ITC" w:hAnsi="Bradley Hand ITC"/>
            <w:color w:val="808080" w:themeColor="background1" w:themeShade="80"/>
            <w:spacing w:val="60"/>
          </w:rPr>
        </w:pPr>
        <w:r>
          <w:fldChar w:fldCharType="begin"/>
        </w:r>
        <w:r>
          <w:instrText xml:space="preserve"> PAGE   \* MERGEFORMAT </w:instrText>
        </w:r>
        <w:r>
          <w:fldChar w:fldCharType="separate"/>
        </w:r>
        <w:r w:rsidRPr="000C70ED">
          <w:rPr>
            <w:b/>
            <w:bCs/>
            <w:noProof/>
          </w:rPr>
          <w:t>27</w:t>
        </w:r>
        <w:r>
          <w:rPr>
            <w:b/>
            <w:bCs/>
            <w:noProof/>
          </w:rPr>
          <w:fldChar w:fldCharType="end"/>
        </w:r>
        <w:r>
          <w:rPr>
            <w:b/>
            <w:bCs/>
          </w:rPr>
          <w:t xml:space="preserve"> | </w:t>
        </w:r>
        <w:r>
          <w:rPr>
            <w:rFonts w:ascii="Bradley Hand ITC" w:hAnsi="Bradley Hand ITC"/>
            <w:color w:val="808080" w:themeColor="background1" w:themeShade="80"/>
            <w:spacing w:val="60"/>
          </w:rPr>
          <w:t>Page</w:t>
        </w:r>
        <w:r w:rsidRPr="00582DCD">
          <w:rPr>
            <w:rFonts w:ascii="Bradley Hand ITC" w:hAnsi="Bradley Hand ITC"/>
            <w:color w:val="808080" w:themeColor="background1" w:themeShade="80"/>
            <w:spacing w:val="60"/>
          </w:rPr>
          <w:tab/>
          <w:t xml:space="preserve">LEITI </w:t>
        </w:r>
        <w:r>
          <w:rPr>
            <w:rFonts w:ascii="Bradley Hand ITC" w:hAnsi="Bradley Hand ITC"/>
            <w:color w:val="808080" w:themeColor="background1" w:themeShade="80"/>
            <w:spacing w:val="60"/>
          </w:rPr>
          <w:t>2024</w:t>
        </w:r>
        <w:r w:rsidRPr="00582DCD">
          <w:rPr>
            <w:rFonts w:ascii="Bradley Hand ITC" w:hAnsi="Bradley Hand ITC"/>
            <w:color w:val="808080" w:themeColor="background1" w:themeShade="80"/>
            <w:spacing w:val="60"/>
          </w:rPr>
          <w:t xml:space="preserve"> Annual Activity Report</w:t>
        </w:r>
      </w:p>
    </w:sdtContent>
  </w:sdt>
  <w:p w14:paraId="5E4AFC4F" w14:textId="77777777" w:rsidR="00423D65" w:rsidRDefault="00423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8677" w14:textId="77777777" w:rsidR="00222665" w:rsidRDefault="00222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1778" w14:textId="77777777" w:rsidR="009F3BC8" w:rsidRDefault="009F3BC8" w:rsidP="00F80ADB">
      <w:pPr>
        <w:spacing w:after="0" w:line="240" w:lineRule="auto"/>
      </w:pPr>
      <w:r>
        <w:separator/>
      </w:r>
    </w:p>
  </w:footnote>
  <w:footnote w:type="continuationSeparator" w:id="0">
    <w:p w14:paraId="7C51678F" w14:textId="77777777" w:rsidR="009F3BC8" w:rsidRDefault="009F3BC8" w:rsidP="00F80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5888" w14:textId="77777777" w:rsidR="00222665" w:rsidRDefault="00222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045786"/>
      <w:docPartObj>
        <w:docPartGallery w:val="Watermarks"/>
        <w:docPartUnique/>
      </w:docPartObj>
    </w:sdtPr>
    <w:sdtContent>
      <w:p w14:paraId="0A86206F" w14:textId="77777777" w:rsidR="00423D65" w:rsidRDefault="00000000">
        <w:pPr>
          <w:pStyle w:val="Header"/>
        </w:pPr>
        <w:r>
          <w:rPr>
            <w:noProof/>
          </w:rPr>
          <w:pict w14:anchorId="22E37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36377" o:spid="_x0000_s1025" type="#_x0000_t136" style="position:absolute;margin-left:0;margin-top:0;width:329.9pt;height:329.9pt;rotation:315;z-index:-251658752;mso-position-horizontal:center;mso-position-horizontal-relative:margin;mso-position-vertical:center;mso-position-vertical-relative:margin" o:allowincell="f" fillcolor="silver" stroked="f">
              <v:textpath style="font-family:&quot;Calibri&quot;;font-size:1pt" string="Fin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D8E6D" w14:textId="77777777" w:rsidR="00222665" w:rsidRDefault="00222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0186"/>
    <w:multiLevelType w:val="hybridMultilevel"/>
    <w:tmpl w:val="42B0BA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D561A"/>
    <w:multiLevelType w:val="hybridMultilevel"/>
    <w:tmpl w:val="F8C4FB40"/>
    <w:lvl w:ilvl="0" w:tplc="E5D0DD58">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810394"/>
    <w:multiLevelType w:val="hybridMultilevel"/>
    <w:tmpl w:val="D5220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6671DB6"/>
    <w:multiLevelType w:val="hybridMultilevel"/>
    <w:tmpl w:val="2E803A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89847A5"/>
    <w:multiLevelType w:val="hybridMultilevel"/>
    <w:tmpl w:val="82A2E3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BF24FC3"/>
    <w:multiLevelType w:val="hybridMultilevel"/>
    <w:tmpl w:val="466055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DB8602D"/>
    <w:multiLevelType w:val="multilevel"/>
    <w:tmpl w:val="B68C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70235"/>
    <w:multiLevelType w:val="hybridMultilevel"/>
    <w:tmpl w:val="ACFCC772"/>
    <w:lvl w:ilvl="0" w:tplc="E5D0DD58">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4230EF4"/>
    <w:multiLevelType w:val="multilevel"/>
    <w:tmpl w:val="C8EC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92BD5"/>
    <w:multiLevelType w:val="multilevel"/>
    <w:tmpl w:val="8E920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A5A10"/>
    <w:multiLevelType w:val="multilevel"/>
    <w:tmpl w:val="C298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363F1"/>
    <w:multiLevelType w:val="multilevel"/>
    <w:tmpl w:val="C37AC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33270E"/>
    <w:multiLevelType w:val="hybridMultilevel"/>
    <w:tmpl w:val="00504E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25210B8"/>
    <w:multiLevelType w:val="hybridMultilevel"/>
    <w:tmpl w:val="06FC6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30549B8"/>
    <w:multiLevelType w:val="hybridMultilevel"/>
    <w:tmpl w:val="7F66E70A"/>
    <w:lvl w:ilvl="0" w:tplc="B60EED90">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4757EAE"/>
    <w:multiLevelType w:val="hybridMultilevel"/>
    <w:tmpl w:val="5E9E6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8327778"/>
    <w:multiLevelType w:val="hybridMultilevel"/>
    <w:tmpl w:val="1FC06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BAC5AE1"/>
    <w:multiLevelType w:val="multilevel"/>
    <w:tmpl w:val="8BD26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023610"/>
    <w:multiLevelType w:val="hybridMultilevel"/>
    <w:tmpl w:val="34D2A5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DD362E8"/>
    <w:multiLevelType w:val="multilevel"/>
    <w:tmpl w:val="3186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151F0B"/>
    <w:multiLevelType w:val="multilevel"/>
    <w:tmpl w:val="49CEB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B235EF"/>
    <w:multiLevelType w:val="hybridMultilevel"/>
    <w:tmpl w:val="1CF2D5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65F5175"/>
    <w:multiLevelType w:val="multilevel"/>
    <w:tmpl w:val="9BEE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13759F"/>
    <w:multiLevelType w:val="multilevel"/>
    <w:tmpl w:val="3E72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677AA1"/>
    <w:multiLevelType w:val="multilevel"/>
    <w:tmpl w:val="9EF009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89670D"/>
    <w:multiLevelType w:val="hybridMultilevel"/>
    <w:tmpl w:val="57CC85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290004C"/>
    <w:multiLevelType w:val="hybridMultilevel"/>
    <w:tmpl w:val="6A584018"/>
    <w:lvl w:ilvl="0" w:tplc="B60EED9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7B6910"/>
    <w:multiLevelType w:val="multilevel"/>
    <w:tmpl w:val="A3A0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DA3DC3"/>
    <w:multiLevelType w:val="hybridMultilevel"/>
    <w:tmpl w:val="77B6D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826607"/>
    <w:multiLevelType w:val="hybridMultilevel"/>
    <w:tmpl w:val="DEB4598E"/>
    <w:lvl w:ilvl="0" w:tplc="0868FB36">
      <w:start w:val="1"/>
      <w:numFmt w:val="upperRoman"/>
      <w:lvlText w:val="%1."/>
      <w:lvlJc w:val="left"/>
      <w:pPr>
        <w:ind w:left="745" w:hanging="185"/>
      </w:pPr>
      <w:rPr>
        <w:rFonts w:ascii="Times New Roman" w:eastAsia="Times New Roman" w:hAnsi="Times New Roman" w:cs="Times New Roman" w:hint="default"/>
        <w:b w:val="0"/>
        <w:bCs w:val="0"/>
        <w:i w:val="0"/>
        <w:iCs w:val="0"/>
        <w:color w:val="2E5395"/>
        <w:w w:val="100"/>
        <w:sz w:val="24"/>
        <w:szCs w:val="24"/>
        <w:lang w:val="en-US" w:eastAsia="en-US" w:bidi="ar-SA"/>
      </w:rPr>
    </w:lvl>
    <w:lvl w:ilvl="1" w:tplc="E18E7E5E">
      <w:start w:val="1"/>
      <w:numFmt w:val="decimal"/>
      <w:lvlText w:val="%2."/>
      <w:lvlJc w:val="left"/>
      <w:pPr>
        <w:ind w:left="1280" w:hanging="360"/>
      </w:pPr>
      <w:rPr>
        <w:rFonts w:ascii="Times New Roman" w:eastAsia="Times New Roman" w:hAnsi="Times New Roman" w:cs="Times New Roman" w:hint="default"/>
        <w:b w:val="0"/>
        <w:bCs w:val="0"/>
        <w:i w:val="0"/>
        <w:iCs w:val="0"/>
        <w:w w:val="100"/>
        <w:sz w:val="24"/>
        <w:szCs w:val="24"/>
        <w:lang w:val="en-US" w:eastAsia="en-US" w:bidi="ar-SA"/>
      </w:rPr>
    </w:lvl>
    <w:lvl w:ilvl="2" w:tplc="4594A794">
      <w:numFmt w:val="bullet"/>
      <w:lvlText w:val=""/>
      <w:lvlJc w:val="left"/>
      <w:pPr>
        <w:ind w:left="1280" w:hanging="360"/>
      </w:pPr>
      <w:rPr>
        <w:rFonts w:ascii="Symbol" w:eastAsia="Symbol" w:hAnsi="Symbol" w:cs="Symbol" w:hint="default"/>
        <w:w w:val="100"/>
        <w:lang w:val="en-US" w:eastAsia="en-US" w:bidi="ar-SA"/>
      </w:rPr>
    </w:lvl>
    <w:lvl w:ilvl="3" w:tplc="43405436">
      <w:numFmt w:val="bullet"/>
      <w:lvlText w:val="o"/>
      <w:lvlJc w:val="left"/>
      <w:pPr>
        <w:ind w:left="2000" w:hanging="360"/>
      </w:pPr>
      <w:rPr>
        <w:rFonts w:ascii="Courier New" w:eastAsia="Courier New" w:hAnsi="Courier New" w:cs="Courier New" w:hint="default"/>
        <w:b w:val="0"/>
        <w:bCs w:val="0"/>
        <w:i w:val="0"/>
        <w:iCs w:val="0"/>
        <w:w w:val="99"/>
        <w:sz w:val="20"/>
        <w:szCs w:val="20"/>
        <w:lang w:val="en-US" w:eastAsia="en-US" w:bidi="ar-SA"/>
      </w:rPr>
    </w:lvl>
    <w:lvl w:ilvl="4" w:tplc="F71EF258">
      <w:numFmt w:val="bullet"/>
      <w:lvlText w:val="•"/>
      <w:lvlJc w:val="left"/>
      <w:pPr>
        <w:ind w:left="4126" w:hanging="360"/>
      </w:pPr>
      <w:rPr>
        <w:rFonts w:hint="default"/>
        <w:lang w:val="en-US" w:eastAsia="en-US" w:bidi="ar-SA"/>
      </w:rPr>
    </w:lvl>
    <w:lvl w:ilvl="5" w:tplc="DD4E8066">
      <w:numFmt w:val="bullet"/>
      <w:lvlText w:val="•"/>
      <w:lvlJc w:val="left"/>
      <w:pPr>
        <w:ind w:left="5189" w:hanging="360"/>
      </w:pPr>
      <w:rPr>
        <w:rFonts w:hint="default"/>
        <w:lang w:val="en-US" w:eastAsia="en-US" w:bidi="ar-SA"/>
      </w:rPr>
    </w:lvl>
    <w:lvl w:ilvl="6" w:tplc="5EF07744">
      <w:numFmt w:val="bullet"/>
      <w:lvlText w:val="•"/>
      <w:lvlJc w:val="left"/>
      <w:pPr>
        <w:ind w:left="6253" w:hanging="360"/>
      </w:pPr>
      <w:rPr>
        <w:rFonts w:hint="default"/>
        <w:lang w:val="en-US" w:eastAsia="en-US" w:bidi="ar-SA"/>
      </w:rPr>
    </w:lvl>
    <w:lvl w:ilvl="7" w:tplc="F642CEBA">
      <w:numFmt w:val="bullet"/>
      <w:lvlText w:val="•"/>
      <w:lvlJc w:val="left"/>
      <w:pPr>
        <w:ind w:left="7316" w:hanging="360"/>
      </w:pPr>
      <w:rPr>
        <w:rFonts w:hint="default"/>
        <w:lang w:val="en-US" w:eastAsia="en-US" w:bidi="ar-SA"/>
      </w:rPr>
    </w:lvl>
    <w:lvl w:ilvl="8" w:tplc="57664462">
      <w:numFmt w:val="bullet"/>
      <w:lvlText w:val="•"/>
      <w:lvlJc w:val="left"/>
      <w:pPr>
        <w:ind w:left="8379" w:hanging="360"/>
      </w:pPr>
      <w:rPr>
        <w:rFonts w:hint="default"/>
        <w:lang w:val="en-US" w:eastAsia="en-US" w:bidi="ar-SA"/>
      </w:rPr>
    </w:lvl>
  </w:abstractNum>
  <w:abstractNum w:abstractNumId="30" w15:restartNumberingAfterBreak="0">
    <w:nsid w:val="6B4742CA"/>
    <w:multiLevelType w:val="multilevel"/>
    <w:tmpl w:val="0410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2B2375"/>
    <w:multiLevelType w:val="hybridMultilevel"/>
    <w:tmpl w:val="6582C2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C1344A9"/>
    <w:multiLevelType w:val="hybridMultilevel"/>
    <w:tmpl w:val="FF76F0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76548858">
    <w:abstractNumId w:val="26"/>
  </w:num>
  <w:num w:numId="2" w16cid:durableId="318922373">
    <w:abstractNumId w:val="28"/>
  </w:num>
  <w:num w:numId="3" w16cid:durableId="224032363">
    <w:abstractNumId w:val="11"/>
  </w:num>
  <w:num w:numId="4" w16cid:durableId="1787502658">
    <w:abstractNumId w:val="14"/>
  </w:num>
  <w:num w:numId="5" w16cid:durableId="242761222">
    <w:abstractNumId w:val="16"/>
  </w:num>
  <w:num w:numId="6" w16cid:durableId="1078556448">
    <w:abstractNumId w:val="30"/>
  </w:num>
  <w:num w:numId="7" w16cid:durableId="1445416358">
    <w:abstractNumId w:val="9"/>
  </w:num>
  <w:num w:numId="8" w16cid:durableId="1368067405">
    <w:abstractNumId w:val="10"/>
  </w:num>
  <w:num w:numId="9" w16cid:durableId="702752234">
    <w:abstractNumId w:val="12"/>
  </w:num>
  <w:num w:numId="10" w16cid:durableId="462231844">
    <w:abstractNumId w:val="4"/>
  </w:num>
  <w:num w:numId="11" w16cid:durableId="195126089">
    <w:abstractNumId w:val="19"/>
  </w:num>
  <w:num w:numId="12" w16cid:durableId="1591621616">
    <w:abstractNumId w:val="6"/>
  </w:num>
  <w:num w:numId="13" w16cid:durableId="281423271">
    <w:abstractNumId w:val="23"/>
  </w:num>
  <w:num w:numId="14" w16cid:durableId="1116101558">
    <w:abstractNumId w:val="17"/>
  </w:num>
  <w:num w:numId="15" w16cid:durableId="887303930">
    <w:abstractNumId w:val="20"/>
  </w:num>
  <w:num w:numId="16" w16cid:durableId="1457869628">
    <w:abstractNumId w:val="24"/>
  </w:num>
  <w:num w:numId="17" w16cid:durableId="309291194">
    <w:abstractNumId w:val="32"/>
  </w:num>
  <w:num w:numId="18" w16cid:durableId="1035619007">
    <w:abstractNumId w:val="21"/>
  </w:num>
  <w:num w:numId="19" w16cid:durableId="426274436">
    <w:abstractNumId w:val="15"/>
  </w:num>
  <w:num w:numId="20" w16cid:durableId="830603458">
    <w:abstractNumId w:val="18"/>
  </w:num>
  <w:num w:numId="21" w16cid:durableId="1957254287">
    <w:abstractNumId w:val="13"/>
  </w:num>
  <w:num w:numId="22" w16cid:durableId="1922643681">
    <w:abstractNumId w:val="31"/>
  </w:num>
  <w:num w:numId="23" w16cid:durableId="2026639204">
    <w:abstractNumId w:val="22"/>
  </w:num>
  <w:num w:numId="24" w16cid:durableId="1298409463">
    <w:abstractNumId w:val="8"/>
  </w:num>
  <w:num w:numId="25" w16cid:durableId="1041171471">
    <w:abstractNumId w:val="25"/>
  </w:num>
  <w:num w:numId="26" w16cid:durableId="203521306">
    <w:abstractNumId w:val="5"/>
  </w:num>
  <w:num w:numId="27" w16cid:durableId="30034014">
    <w:abstractNumId w:val="2"/>
  </w:num>
  <w:num w:numId="28" w16cid:durableId="26151479">
    <w:abstractNumId w:val="3"/>
  </w:num>
  <w:num w:numId="29" w16cid:durableId="993802403">
    <w:abstractNumId w:val="1"/>
  </w:num>
  <w:num w:numId="30" w16cid:durableId="122042738">
    <w:abstractNumId w:val="29"/>
  </w:num>
  <w:num w:numId="31" w16cid:durableId="1005018348">
    <w:abstractNumId w:val="7"/>
  </w:num>
  <w:num w:numId="32" w16cid:durableId="2047097482">
    <w:abstractNumId w:val="0"/>
  </w:num>
  <w:num w:numId="33" w16cid:durableId="2398736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D65"/>
    <w:rsid w:val="00011EA3"/>
    <w:rsid w:val="000523A3"/>
    <w:rsid w:val="00063EE9"/>
    <w:rsid w:val="0008559E"/>
    <w:rsid w:val="000F19DE"/>
    <w:rsid w:val="00144E98"/>
    <w:rsid w:val="001B053E"/>
    <w:rsid w:val="001B3809"/>
    <w:rsid w:val="001C5130"/>
    <w:rsid w:val="0020029D"/>
    <w:rsid w:val="00217D6A"/>
    <w:rsid w:val="00222665"/>
    <w:rsid w:val="00252F1D"/>
    <w:rsid w:val="00303B3C"/>
    <w:rsid w:val="00305A1E"/>
    <w:rsid w:val="00306B98"/>
    <w:rsid w:val="00356859"/>
    <w:rsid w:val="00376F00"/>
    <w:rsid w:val="00385AAC"/>
    <w:rsid w:val="00423D65"/>
    <w:rsid w:val="00463A7F"/>
    <w:rsid w:val="0047051C"/>
    <w:rsid w:val="00484954"/>
    <w:rsid w:val="00487D3F"/>
    <w:rsid w:val="004B5968"/>
    <w:rsid w:val="004E4F76"/>
    <w:rsid w:val="005263C4"/>
    <w:rsid w:val="00526CD8"/>
    <w:rsid w:val="005D6B9D"/>
    <w:rsid w:val="00614380"/>
    <w:rsid w:val="00614DB2"/>
    <w:rsid w:val="006A2584"/>
    <w:rsid w:val="006E11F0"/>
    <w:rsid w:val="006E1686"/>
    <w:rsid w:val="006F50DB"/>
    <w:rsid w:val="00741EF9"/>
    <w:rsid w:val="00745EF5"/>
    <w:rsid w:val="0075266D"/>
    <w:rsid w:val="007F33BF"/>
    <w:rsid w:val="0081175F"/>
    <w:rsid w:val="008276D4"/>
    <w:rsid w:val="00852C6F"/>
    <w:rsid w:val="00882354"/>
    <w:rsid w:val="008F6867"/>
    <w:rsid w:val="0094401C"/>
    <w:rsid w:val="00947404"/>
    <w:rsid w:val="00994DCE"/>
    <w:rsid w:val="009B55AE"/>
    <w:rsid w:val="009C6D5C"/>
    <w:rsid w:val="009D5071"/>
    <w:rsid w:val="009E3F83"/>
    <w:rsid w:val="009F3BC8"/>
    <w:rsid w:val="00A15828"/>
    <w:rsid w:val="00A20556"/>
    <w:rsid w:val="00A301D0"/>
    <w:rsid w:val="00A4448A"/>
    <w:rsid w:val="00A634A1"/>
    <w:rsid w:val="00AA3CE4"/>
    <w:rsid w:val="00AB20BB"/>
    <w:rsid w:val="00AB6DBD"/>
    <w:rsid w:val="00AD3339"/>
    <w:rsid w:val="00B26373"/>
    <w:rsid w:val="00B43092"/>
    <w:rsid w:val="00B57AF9"/>
    <w:rsid w:val="00B7365A"/>
    <w:rsid w:val="00B74B03"/>
    <w:rsid w:val="00BC3ED6"/>
    <w:rsid w:val="00C35F42"/>
    <w:rsid w:val="00C91C46"/>
    <w:rsid w:val="00CA6686"/>
    <w:rsid w:val="00CB1E43"/>
    <w:rsid w:val="00CD2BF0"/>
    <w:rsid w:val="00D25C6D"/>
    <w:rsid w:val="00DE61DC"/>
    <w:rsid w:val="00EB14BC"/>
    <w:rsid w:val="00EF0992"/>
    <w:rsid w:val="00F37E92"/>
    <w:rsid w:val="00F47487"/>
    <w:rsid w:val="00F80ADB"/>
    <w:rsid w:val="00FA0B6E"/>
    <w:rsid w:val="00FC4BDF"/>
    <w:rsid w:val="00FD5278"/>
    <w:rsid w:val="00FF732C"/>
  </w:rsids>
  <m:mathPr>
    <m:mathFont m:val="Cambria Math"/>
    <m:brkBin m:val="before"/>
    <m:brkBinSub m:val="--"/>
    <m:smallFrac m:val="0"/>
    <m:dispDef/>
    <m:lMargin m:val="0"/>
    <m:rMargin m:val="0"/>
    <m:defJc m:val="centerGroup"/>
    <m:wrapIndent m:val="1440"/>
    <m:intLim m:val="subSup"/>
    <m:naryLim m:val="undOvr"/>
  </m:mathPr>
  <w:themeFontLang w:val="en-L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0D83F"/>
  <w15:chartTrackingRefBased/>
  <w15:docId w15:val="{36596480-69CC-405C-9DEB-5D9EA997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L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D65"/>
    <w:pPr>
      <w:spacing w:after="200" w:line="276" w:lineRule="auto"/>
    </w:pPr>
    <w:rPr>
      <w:kern w:val="0"/>
      <w:lang w:val="en-US"/>
      <w14:ligatures w14:val="none"/>
    </w:rPr>
  </w:style>
  <w:style w:type="paragraph" w:styleId="Heading1">
    <w:name w:val="heading 1"/>
    <w:basedOn w:val="Normal"/>
    <w:next w:val="Normal"/>
    <w:link w:val="Heading1Char"/>
    <w:uiPriority w:val="9"/>
    <w:qFormat/>
    <w:rsid w:val="00423D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23D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23D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3D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3D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3D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3D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3D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3D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D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23D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23D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3D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3D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3D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3D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3D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3D65"/>
    <w:rPr>
      <w:rFonts w:eastAsiaTheme="majorEastAsia" w:cstheme="majorBidi"/>
      <w:color w:val="272727" w:themeColor="text1" w:themeTint="D8"/>
    </w:rPr>
  </w:style>
  <w:style w:type="paragraph" w:styleId="Title">
    <w:name w:val="Title"/>
    <w:basedOn w:val="Normal"/>
    <w:next w:val="Normal"/>
    <w:link w:val="TitleChar"/>
    <w:uiPriority w:val="10"/>
    <w:qFormat/>
    <w:rsid w:val="00423D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3D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3D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3D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3D65"/>
    <w:pPr>
      <w:spacing w:before="160"/>
      <w:jc w:val="center"/>
    </w:pPr>
    <w:rPr>
      <w:i/>
      <w:iCs/>
      <w:color w:val="404040" w:themeColor="text1" w:themeTint="BF"/>
    </w:rPr>
  </w:style>
  <w:style w:type="character" w:customStyle="1" w:styleId="QuoteChar">
    <w:name w:val="Quote Char"/>
    <w:basedOn w:val="DefaultParagraphFont"/>
    <w:link w:val="Quote"/>
    <w:uiPriority w:val="29"/>
    <w:rsid w:val="00423D65"/>
    <w:rPr>
      <w:i/>
      <w:iCs/>
      <w:color w:val="404040" w:themeColor="text1" w:themeTint="BF"/>
    </w:rPr>
  </w:style>
  <w:style w:type="paragraph" w:styleId="ListParagraph">
    <w:name w:val="List Paragraph"/>
    <w:basedOn w:val="Normal"/>
    <w:uiPriority w:val="34"/>
    <w:qFormat/>
    <w:rsid w:val="00423D65"/>
    <w:pPr>
      <w:ind w:left="720"/>
      <w:contextualSpacing/>
    </w:pPr>
  </w:style>
  <w:style w:type="character" w:styleId="IntenseEmphasis">
    <w:name w:val="Intense Emphasis"/>
    <w:basedOn w:val="DefaultParagraphFont"/>
    <w:uiPriority w:val="21"/>
    <w:qFormat/>
    <w:rsid w:val="00423D65"/>
    <w:rPr>
      <w:i/>
      <w:iCs/>
      <w:color w:val="2F5496" w:themeColor="accent1" w:themeShade="BF"/>
    </w:rPr>
  </w:style>
  <w:style w:type="paragraph" w:styleId="IntenseQuote">
    <w:name w:val="Intense Quote"/>
    <w:basedOn w:val="Normal"/>
    <w:next w:val="Normal"/>
    <w:link w:val="IntenseQuoteChar"/>
    <w:uiPriority w:val="30"/>
    <w:qFormat/>
    <w:rsid w:val="00423D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3D65"/>
    <w:rPr>
      <w:i/>
      <w:iCs/>
      <w:color w:val="2F5496" w:themeColor="accent1" w:themeShade="BF"/>
    </w:rPr>
  </w:style>
  <w:style w:type="character" w:styleId="IntenseReference">
    <w:name w:val="Intense Reference"/>
    <w:basedOn w:val="DefaultParagraphFont"/>
    <w:uiPriority w:val="32"/>
    <w:qFormat/>
    <w:rsid w:val="00423D65"/>
    <w:rPr>
      <w:b/>
      <w:bCs/>
      <w:smallCaps/>
      <w:color w:val="2F5496" w:themeColor="accent1" w:themeShade="BF"/>
      <w:spacing w:val="5"/>
    </w:rPr>
  </w:style>
  <w:style w:type="paragraph" w:styleId="NoSpacing">
    <w:name w:val="No Spacing"/>
    <w:link w:val="NoSpacingChar"/>
    <w:uiPriority w:val="1"/>
    <w:qFormat/>
    <w:rsid w:val="00423D65"/>
    <w:pPr>
      <w:spacing w:after="0" w:line="240" w:lineRule="auto"/>
    </w:pPr>
    <w:rPr>
      <w:kern w:val="0"/>
      <w:lang w:val="en-US"/>
      <w14:ligatures w14:val="none"/>
    </w:rPr>
  </w:style>
  <w:style w:type="character" w:customStyle="1" w:styleId="usercontent">
    <w:name w:val="usercontent"/>
    <w:basedOn w:val="DefaultParagraphFont"/>
    <w:rsid w:val="00423D65"/>
  </w:style>
  <w:style w:type="character" w:customStyle="1" w:styleId="ufb-text-content">
    <w:name w:val="ufb-text-content"/>
    <w:basedOn w:val="DefaultParagraphFont"/>
    <w:rsid w:val="00423D65"/>
  </w:style>
  <w:style w:type="paragraph" w:customStyle="1" w:styleId="yiv519561133msonormal">
    <w:name w:val="yiv519561133msonormal"/>
    <w:basedOn w:val="Normal"/>
    <w:rsid w:val="00423D6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23D6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3D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3D65"/>
    <w:rPr>
      <w:color w:val="0563C1" w:themeColor="hyperlink"/>
      <w:u w:val="single"/>
    </w:rPr>
  </w:style>
  <w:style w:type="character" w:styleId="FollowedHyperlink">
    <w:name w:val="FollowedHyperlink"/>
    <w:basedOn w:val="DefaultParagraphFont"/>
    <w:uiPriority w:val="99"/>
    <w:semiHidden/>
    <w:unhideWhenUsed/>
    <w:rsid w:val="00423D65"/>
    <w:rPr>
      <w:color w:val="954F72" w:themeColor="followedHyperlink"/>
      <w:u w:val="single"/>
    </w:rPr>
  </w:style>
  <w:style w:type="character" w:styleId="Strong">
    <w:name w:val="Strong"/>
    <w:uiPriority w:val="22"/>
    <w:qFormat/>
    <w:rsid w:val="00423D65"/>
    <w:rPr>
      <w:b/>
      <w:bCs/>
    </w:rPr>
  </w:style>
  <w:style w:type="paragraph" w:customStyle="1" w:styleId="Default">
    <w:name w:val="Default"/>
    <w:rsid w:val="00423D65"/>
    <w:pPr>
      <w:widowControl w:val="0"/>
      <w:autoSpaceDE w:val="0"/>
      <w:autoSpaceDN w:val="0"/>
      <w:adjustRightInd w:val="0"/>
      <w:spacing w:after="0" w:line="240" w:lineRule="auto"/>
    </w:pPr>
    <w:rPr>
      <w:rFonts w:ascii="Times New Roman" w:eastAsiaTheme="minorEastAsia" w:hAnsi="Times New Roman" w:cs="Times New Roman"/>
      <w:color w:val="000000"/>
      <w:kern w:val="0"/>
      <w:sz w:val="24"/>
      <w:szCs w:val="24"/>
      <w:lang w:val="en-US"/>
      <w14:ligatures w14:val="none"/>
    </w:rPr>
  </w:style>
  <w:style w:type="paragraph" w:styleId="FootnoteText">
    <w:name w:val="footnote text"/>
    <w:basedOn w:val="Normal"/>
    <w:link w:val="FootnoteTextChar"/>
    <w:uiPriority w:val="99"/>
    <w:unhideWhenUsed/>
    <w:rsid w:val="00423D65"/>
    <w:pPr>
      <w:pBdr>
        <w:top w:val="nil"/>
        <w:left w:val="nil"/>
        <w:bottom w:val="nil"/>
        <w:right w:val="nil"/>
        <w:between w:val="nil"/>
        <w:bar w:val="nil"/>
      </w:pBdr>
    </w:pPr>
    <w:rPr>
      <w:rFonts w:ascii="Calibri" w:eastAsia="Calibri" w:hAnsi="Calibri" w:cs="Calibri"/>
      <w:color w:val="000000"/>
      <w:sz w:val="20"/>
      <w:szCs w:val="20"/>
      <w:u w:color="000000"/>
      <w:bdr w:val="nil"/>
    </w:rPr>
  </w:style>
  <w:style w:type="character" w:customStyle="1" w:styleId="FootnoteTextChar">
    <w:name w:val="Footnote Text Char"/>
    <w:basedOn w:val="DefaultParagraphFont"/>
    <w:link w:val="FootnoteText"/>
    <w:uiPriority w:val="99"/>
    <w:rsid w:val="00423D65"/>
    <w:rPr>
      <w:rFonts w:ascii="Calibri" w:eastAsia="Calibri" w:hAnsi="Calibri" w:cs="Calibri"/>
      <w:color w:val="000000"/>
      <w:kern w:val="0"/>
      <w:sz w:val="20"/>
      <w:szCs w:val="20"/>
      <w:u w:color="000000"/>
      <w:bdr w:val="nil"/>
      <w:lang w:val="en-US"/>
      <w14:ligatures w14:val="none"/>
    </w:rPr>
  </w:style>
  <w:style w:type="character" w:styleId="FootnoteReference">
    <w:name w:val="footnote reference"/>
    <w:uiPriority w:val="99"/>
    <w:unhideWhenUsed/>
    <w:rsid w:val="00423D65"/>
    <w:rPr>
      <w:vertAlign w:val="superscript"/>
    </w:rPr>
  </w:style>
  <w:style w:type="paragraph" w:customStyle="1" w:styleId="MittleresRaster1-Akzent21">
    <w:name w:val="Mittleres Raster 1 - Akzent 21"/>
    <w:uiPriority w:val="34"/>
    <w:qFormat/>
    <w:rsid w:val="00423D65"/>
    <w:pPr>
      <w:pBdr>
        <w:top w:val="nil"/>
        <w:left w:val="nil"/>
        <w:bottom w:val="nil"/>
        <w:right w:val="nil"/>
        <w:between w:val="nil"/>
        <w:bar w:val="nil"/>
      </w:pBdr>
      <w:spacing w:after="200" w:line="276" w:lineRule="auto"/>
      <w:ind w:left="720"/>
    </w:pPr>
    <w:rPr>
      <w:rFonts w:ascii="Calibri" w:eastAsia="Calibri" w:hAnsi="Calibri" w:cs="Calibri"/>
      <w:color w:val="000000"/>
      <w:kern w:val="0"/>
      <w:u w:color="000000"/>
      <w:bdr w:val="nil"/>
      <w:lang w:val="en-US"/>
      <w14:ligatures w14:val="none"/>
    </w:rPr>
  </w:style>
  <w:style w:type="paragraph" w:styleId="BalloonText">
    <w:name w:val="Balloon Text"/>
    <w:basedOn w:val="Normal"/>
    <w:link w:val="BalloonTextChar"/>
    <w:uiPriority w:val="99"/>
    <w:semiHidden/>
    <w:unhideWhenUsed/>
    <w:rsid w:val="00423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D65"/>
    <w:rPr>
      <w:rFonts w:ascii="Tahoma" w:hAnsi="Tahoma" w:cs="Tahoma"/>
      <w:kern w:val="0"/>
      <w:sz w:val="16"/>
      <w:szCs w:val="16"/>
      <w:lang w:val="en-US"/>
      <w14:ligatures w14:val="none"/>
    </w:rPr>
  </w:style>
  <w:style w:type="paragraph" w:styleId="Header">
    <w:name w:val="header"/>
    <w:basedOn w:val="Normal"/>
    <w:link w:val="HeaderChar"/>
    <w:uiPriority w:val="99"/>
    <w:unhideWhenUsed/>
    <w:rsid w:val="00423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D65"/>
    <w:rPr>
      <w:kern w:val="0"/>
      <w:lang w:val="en-US"/>
      <w14:ligatures w14:val="none"/>
    </w:rPr>
  </w:style>
  <w:style w:type="paragraph" w:styleId="Footer">
    <w:name w:val="footer"/>
    <w:basedOn w:val="Normal"/>
    <w:link w:val="FooterChar"/>
    <w:uiPriority w:val="99"/>
    <w:unhideWhenUsed/>
    <w:rsid w:val="00423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D65"/>
    <w:rPr>
      <w:kern w:val="0"/>
      <w:lang w:val="en-US"/>
      <w14:ligatures w14:val="none"/>
    </w:rPr>
  </w:style>
  <w:style w:type="character" w:styleId="CommentReference">
    <w:name w:val="annotation reference"/>
    <w:basedOn w:val="DefaultParagraphFont"/>
    <w:uiPriority w:val="99"/>
    <w:semiHidden/>
    <w:unhideWhenUsed/>
    <w:rsid w:val="00423D65"/>
    <w:rPr>
      <w:sz w:val="16"/>
      <w:szCs w:val="16"/>
    </w:rPr>
  </w:style>
  <w:style w:type="paragraph" w:styleId="CommentText">
    <w:name w:val="annotation text"/>
    <w:basedOn w:val="Normal"/>
    <w:link w:val="CommentTextChar"/>
    <w:uiPriority w:val="99"/>
    <w:unhideWhenUsed/>
    <w:rsid w:val="00423D65"/>
    <w:pPr>
      <w:spacing w:line="240" w:lineRule="auto"/>
    </w:pPr>
    <w:rPr>
      <w:sz w:val="20"/>
      <w:szCs w:val="20"/>
    </w:rPr>
  </w:style>
  <w:style w:type="character" w:customStyle="1" w:styleId="CommentTextChar">
    <w:name w:val="Comment Text Char"/>
    <w:basedOn w:val="DefaultParagraphFont"/>
    <w:link w:val="CommentText"/>
    <w:uiPriority w:val="99"/>
    <w:rsid w:val="00423D65"/>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23D65"/>
    <w:rPr>
      <w:b/>
      <w:bCs/>
    </w:rPr>
  </w:style>
  <w:style w:type="character" w:customStyle="1" w:styleId="CommentSubjectChar">
    <w:name w:val="Comment Subject Char"/>
    <w:basedOn w:val="CommentTextChar"/>
    <w:link w:val="CommentSubject"/>
    <w:uiPriority w:val="99"/>
    <w:semiHidden/>
    <w:rsid w:val="00423D65"/>
    <w:rPr>
      <w:b/>
      <w:bCs/>
      <w:kern w:val="0"/>
      <w:sz w:val="20"/>
      <w:szCs w:val="20"/>
      <w:lang w:val="en-US"/>
      <w14:ligatures w14:val="none"/>
    </w:rPr>
  </w:style>
  <w:style w:type="paragraph" w:styleId="Revision">
    <w:name w:val="Revision"/>
    <w:hidden/>
    <w:uiPriority w:val="99"/>
    <w:semiHidden/>
    <w:rsid w:val="00423D65"/>
    <w:pPr>
      <w:spacing w:after="0" w:line="240" w:lineRule="auto"/>
    </w:pPr>
    <w:rPr>
      <w:kern w:val="0"/>
      <w:lang w:val="en-US"/>
      <w14:ligatures w14:val="none"/>
    </w:rPr>
  </w:style>
  <w:style w:type="paragraph" w:styleId="EndnoteText">
    <w:name w:val="endnote text"/>
    <w:basedOn w:val="Normal"/>
    <w:link w:val="EndnoteTextChar"/>
    <w:uiPriority w:val="99"/>
    <w:semiHidden/>
    <w:unhideWhenUsed/>
    <w:rsid w:val="00423D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3D65"/>
    <w:rPr>
      <w:kern w:val="0"/>
      <w:sz w:val="20"/>
      <w:szCs w:val="20"/>
      <w:lang w:val="en-US"/>
      <w14:ligatures w14:val="none"/>
    </w:rPr>
  </w:style>
  <w:style w:type="character" w:styleId="EndnoteReference">
    <w:name w:val="endnote reference"/>
    <w:basedOn w:val="DefaultParagraphFont"/>
    <w:uiPriority w:val="99"/>
    <w:semiHidden/>
    <w:unhideWhenUsed/>
    <w:rsid w:val="00423D65"/>
    <w:rPr>
      <w:vertAlign w:val="superscript"/>
    </w:rPr>
  </w:style>
  <w:style w:type="paragraph" w:styleId="TOCHeading">
    <w:name w:val="TOC Heading"/>
    <w:basedOn w:val="Heading1"/>
    <w:next w:val="Normal"/>
    <w:uiPriority w:val="39"/>
    <w:unhideWhenUsed/>
    <w:qFormat/>
    <w:rsid w:val="00423D65"/>
    <w:pPr>
      <w:spacing w:before="480" w:after="0"/>
      <w:outlineLvl w:val="9"/>
    </w:pPr>
    <w:rPr>
      <w:b/>
      <w:bCs/>
      <w:sz w:val="28"/>
      <w:szCs w:val="28"/>
      <w:lang w:eastAsia="ja-JP"/>
    </w:rPr>
  </w:style>
  <w:style w:type="paragraph" w:styleId="TOC3">
    <w:name w:val="toc 3"/>
    <w:basedOn w:val="Normal"/>
    <w:next w:val="Normal"/>
    <w:autoRedefine/>
    <w:uiPriority w:val="39"/>
    <w:unhideWhenUsed/>
    <w:qFormat/>
    <w:rsid w:val="00423D65"/>
    <w:pPr>
      <w:spacing w:after="100"/>
      <w:ind w:left="440"/>
    </w:pPr>
  </w:style>
  <w:style w:type="paragraph" w:styleId="TOC2">
    <w:name w:val="toc 2"/>
    <w:basedOn w:val="Normal"/>
    <w:next w:val="Normal"/>
    <w:autoRedefine/>
    <w:uiPriority w:val="39"/>
    <w:semiHidden/>
    <w:unhideWhenUsed/>
    <w:qFormat/>
    <w:rsid w:val="00423D65"/>
    <w:pPr>
      <w:spacing w:after="100"/>
      <w:ind w:left="220"/>
    </w:pPr>
    <w:rPr>
      <w:rFonts w:eastAsiaTheme="minorEastAsia"/>
      <w:lang w:eastAsia="ja-JP"/>
    </w:rPr>
  </w:style>
  <w:style w:type="paragraph" w:styleId="TOC1">
    <w:name w:val="toc 1"/>
    <w:basedOn w:val="Normal"/>
    <w:next w:val="Normal"/>
    <w:autoRedefine/>
    <w:uiPriority w:val="39"/>
    <w:unhideWhenUsed/>
    <w:qFormat/>
    <w:rsid w:val="00423D65"/>
    <w:pPr>
      <w:spacing w:after="100"/>
    </w:pPr>
    <w:rPr>
      <w:rFonts w:eastAsiaTheme="minorEastAsia"/>
      <w:lang w:eastAsia="ja-JP"/>
    </w:rPr>
  </w:style>
  <w:style w:type="table" w:customStyle="1" w:styleId="TableGrid1">
    <w:name w:val="Table Grid1"/>
    <w:basedOn w:val="TableNormal"/>
    <w:next w:val="TableGrid"/>
    <w:uiPriority w:val="39"/>
    <w:rsid w:val="00423D6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423D65"/>
    <w:pPr>
      <w:spacing w:line="240" w:lineRule="auto"/>
    </w:pPr>
    <w:rPr>
      <w:rFonts w:ascii="Times New Roman" w:eastAsia="Times New Roman" w:hAnsi="Times New Roman" w:cs="Times New Roman"/>
      <w:i/>
      <w:iCs/>
      <w:color w:val="1F497D"/>
      <w:sz w:val="18"/>
      <w:szCs w:val="18"/>
    </w:rPr>
  </w:style>
  <w:style w:type="character" w:customStyle="1" w:styleId="NoSpacingChar">
    <w:name w:val="No Spacing Char"/>
    <w:link w:val="NoSpacing"/>
    <w:uiPriority w:val="1"/>
    <w:rsid w:val="00423D65"/>
    <w:rPr>
      <w:kern w:val="0"/>
      <w:lang w:val="en-US"/>
      <w14:ligatures w14:val="none"/>
    </w:rPr>
  </w:style>
  <w:style w:type="paragraph" w:styleId="Caption">
    <w:name w:val="caption"/>
    <w:basedOn w:val="Normal"/>
    <w:next w:val="Normal"/>
    <w:uiPriority w:val="35"/>
    <w:unhideWhenUsed/>
    <w:qFormat/>
    <w:rsid w:val="00423D65"/>
    <w:pPr>
      <w:spacing w:line="240" w:lineRule="auto"/>
    </w:pPr>
    <w:rPr>
      <w:i/>
      <w:iCs/>
      <w:color w:val="44546A" w:themeColor="text2"/>
      <w:sz w:val="18"/>
      <w:szCs w:val="18"/>
    </w:rPr>
  </w:style>
  <w:style w:type="paragraph" w:customStyle="1" w:styleId="story-body-text">
    <w:name w:val="story-body-text"/>
    <w:basedOn w:val="Normal"/>
    <w:rsid w:val="00423D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2edcug0">
    <w:name w:val="d2edcug0"/>
    <w:basedOn w:val="DefaultParagraphFont"/>
    <w:rsid w:val="00423D65"/>
  </w:style>
  <w:style w:type="character" w:customStyle="1" w:styleId="UnresolvedMention1">
    <w:name w:val="Unresolved Mention1"/>
    <w:basedOn w:val="DefaultParagraphFont"/>
    <w:uiPriority w:val="99"/>
    <w:semiHidden/>
    <w:unhideWhenUsed/>
    <w:rsid w:val="00423D65"/>
    <w:rPr>
      <w:color w:val="605E5C"/>
      <w:shd w:val="clear" w:color="auto" w:fill="E1DFDD"/>
    </w:rPr>
  </w:style>
  <w:style w:type="numbering" w:customStyle="1" w:styleId="NoList1">
    <w:name w:val="No List1"/>
    <w:next w:val="NoList"/>
    <w:uiPriority w:val="99"/>
    <w:semiHidden/>
    <w:unhideWhenUsed/>
    <w:rsid w:val="00423D65"/>
  </w:style>
  <w:style w:type="paragraph" w:styleId="BodyText">
    <w:name w:val="Body Text"/>
    <w:basedOn w:val="Normal"/>
    <w:link w:val="BodyTextChar"/>
    <w:uiPriority w:val="1"/>
    <w:qFormat/>
    <w:rsid w:val="004B596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5968"/>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eb.facebook.com/hashtag/debate?__eep__=6&amp;__cft__%5b0%5d=AZaCcPSuE1o0_Ettd6ys6wK9SBbHx0D5TWdAxU_Wat4cCaxqFGZ8S9YLoKxXWKF-Mwd0Zogz0VY-Hi08OJNmXbbgEWInHtNQbWyPR5tpEiq347MEeQoa5tgsMZGlHluciRtFiHkkTpU2LY_64BW7nAuZJpT7brPVOO41iYQvmt-qBzwRRzEu74gd9V2A1k35cAw&amp;__tn__=*NK-R" TargetMode="External"/><Relationship Id="rId47" Type="http://schemas.openxmlformats.org/officeDocument/2006/relationships/hyperlink" Target="https://web.facebook.com/hashtag/commitments?__eep__=6&amp;__cft__%5b0%5d=AZaCcPSuE1o0_Ettd6ys6wK9SBbHx0D5TWdAxU_Wat4cCaxqFGZ8S9YLoKxXWKF-Mwd0Zogz0VY-Hi08OJNmXbbgEWInHtNQbWyPR5tpEiq347MEeQoa5tgsMZGlHluciRtFiHkkTpU2LY_64BW7nAuZJpT7brPVOO41iYQvmt-qBzwRRzEu74gd9V2A1k35cAw&amp;__tn__=*NK-R" TargetMode="External"/><Relationship Id="rId63" Type="http://schemas.openxmlformats.org/officeDocument/2006/relationships/image" Target="media/image35.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eb.facebook.com/hashtag/validation?__eep__=6&amp;__cft__%5b0%5d=AZaCcPSuE1o0_Ettd6ys6wK9SBbHx0D5TWdAxU_Wat4cCaxqFGZ8S9YLoKxXWKF-Mwd0Zogz0VY-Hi08OJNmXbbgEWInHtNQbWyPR5tpEiq347MEeQoa5tgsMZGlHluciRtFiHkkTpU2LY_64BW7nAuZJpT7brPVOO41iYQvmt-qBzwRRzEu74gd9V2A1k35cAw&amp;__tn__=*NK-R"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eb.facebook.com/hashtag/annual?__eep__=6&amp;__cft__%5b0%5d=AZaCcPSuE1o0_Ettd6ys6wK9SBbHx0D5TWdAxU_Wat4cCaxqFGZ8S9YLoKxXWKF-Mwd0Zogz0VY-Hi08OJNmXbbgEWInHtNQbWyPR5tpEiq347MEeQoa5tgsMZGlHluciRtFiHkkTpU2LY_64BW7nAuZJpT7brPVOO41iYQvmt-qBzwRRzEu74gd9V2A1k35cAw&amp;__tn__=*NK-R" TargetMode="External"/><Relationship Id="rId37" Type="http://schemas.openxmlformats.org/officeDocument/2006/relationships/hyperlink" Target="https://web.facebook.com/hashtag/communications?__eep__=6&amp;__cft__%5b0%5d=AZaCcPSuE1o0_Ettd6ys6wK9SBbHx0D5TWdAxU_Wat4cCaxqFGZ8S9YLoKxXWKF-Mwd0Zogz0VY-Hi08OJNmXbbgEWInHtNQbWyPR5tpEiq347MEeQoa5tgsMZGlHluciRtFiHkkTpU2LY_64BW7nAuZJpT7brPVOO41iYQvmt-qBzwRRzEu74gd9V2A1k35cAw&amp;__tn__=*NK-R" TargetMode="External"/><Relationship Id="rId40" Type="http://schemas.openxmlformats.org/officeDocument/2006/relationships/hyperlink" Target="https://web.facebook.com/hashtag/artisanal?__eep__=6&amp;__cft__%5b0%5d=AZaCcPSuE1o0_Ettd6ys6wK9SBbHx0D5TWdAxU_Wat4cCaxqFGZ8S9YLoKxXWKF-Mwd0Zogz0VY-Hi08OJNmXbbgEWInHtNQbWyPR5tpEiq347MEeQoa5tgsMZGlHluciRtFiHkkTpU2LY_64BW7nAuZJpT7brPVOO41iYQvmt-qBzwRRzEu74gd9V2A1k35cAw&amp;__tn__=*NK-R" TargetMode="External"/><Relationship Id="rId45" Type="http://schemas.openxmlformats.org/officeDocument/2006/relationships/hyperlink" Target="https://web.facebook.com/hashtag/does?__eep__=6&amp;__cft__%5b0%5d=AZaCcPSuE1o0_Ettd6ys6wK9SBbHx0D5TWdAxU_Wat4cCaxqFGZ8S9YLoKxXWKF-Mwd0Zogz0VY-Hi08OJNmXbbgEWInHtNQbWyPR5tpEiq347MEeQoa5tgsMZGlHluciRtFiHkkTpU2LY_64BW7nAuZJpT7brPVOO41iYQvmt-qBzwRRzEu74gd9V2A1k35cAw&amp;__tn__=*NK-R" TargetMode="External"/><Relationship Id="rId53" Type="http://schemas.openxmlformats.org/officeDocument/2006/relationships/image" Target="media/image27.png"/><Relationship Id="rId58" Type="http://schemas.openxmlformats.org/officeDocument/2006/relationships/image" Target="media/image30.em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eb.facebook.com/hashtag/five?__eep__=6&amp;__cft__%5b0%5d=AZaCcPSuE1o0_Ettd6ys6wK9SBbHx0D5TWdAxU_Wat4cCaxqFGZ8S9YLoKxXWKF-Mwd0Zogz0VY-Hi08OJNmXbbgEWInHtNQbWyPR5tpEiq347MEeQoa5tgsMZGlHluciRtFiHkkTpU2LY_64BW7nAuZJpT7brPVOO41iYQvmt-qBzwRRzEu74gd9V2A1k35cAw&amp;__tn__=*NK-R" TargetMode="External"/><Relationship Id="rId35" Type="http://schemas.openxmlformats.org/officeDocument/2006/relationships/hyperlink" Target="https://web.facebook.com/hashtag/contract?__eep__=6&amp;__cft__%5b0%5d=AZaCcPSuE1o0_Ettd6ys6wK9SBbHx0D5TWdAxU_Wat4cCaxqFGZ8S9YLoKxXWKF-Mwd0Zogz0VY-Hi08OJNmXbbgEWInHtNQbWyPR5tpEiq347MEeQoa5tgsMZGlHluciRtFiHkkTpU2LY_64BW7nAuZJpT7brPVOO41iYQvmt-qBzwRRzEu74gd9V2A1k35cAw&amp;__tn__=*NK-R" TargetMode="External"/><Relationship Id="rId43" Type="http://schemas.openxmlformats.org/officeDocument/2006/relationships/hyperlink" Target="https://web.facebook.com/hashtag/buchanan?__eep__=6&amp;__cft__%5b0%5d=AZaCcPSuE1o0_Ettd6ys6wK9SBbHx0D5TWdAxU_Wat4cCaxqFGZ8S9YLoKxXWKF-Mwd0Zogz0VY-Hi08OJNmXbbgEWInHtNQbWyPR5tpEiq347MEeQoa5tgsMZGlHluciRtFiHkkTpU2LY_64BW7nAuZJpT7brPVOO41iYQvmt-qBzwRRzEu74gd9V2A1k35cAw&amp;__tn__=*NK-R" TargetMode="External"/><Relationship Id="rId48" Type="http://schemas.openxmlformats.org/officeDocument/2006/relationships/image" Target="media/image22.jpeg"/><Relationship Id="rId56" Type="http://schemas.openxmlformats.org/officeDocument/2006/relationships/hyperlink" Target="https://www.leiti.org.lr/document/multi-stakeholder-steering-group/msg-resolution-open-data-policy-0"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eb.facebook.com/hashtag/beneficial?__eep__=6&amp;__cft__%5b0%5d=AZaCcPSuE1o0_Ettd6ys6wK9SBbHx0D5TWdAxU_Wat4cCaxqFGZ8S9YLoKxXWKF-Mwd0Zogz0VY-Hi08OJNmXbbgEWInHtNQbWyPR5tpEiq347MEeQoa5tgsMZGlHluciRtFiHkkTpU2LY_64BW7nAuZJpT7brPVOO41iYQvmt-qBzwRRzEu74gd9V2A1k35cAw&amp;__tn__=*NK-R" TargetMode="External"/><Relationship Id="rId38" Type="http://schemas.openxmlformats.org/officeDocument/2006/relationships/hyperlink" Target="https://web.facebook.com/hashtag/simplifying?__eep__=6&amp;__cft__%5b0%5d=AZaCcPSuE1o0_Ettd6ys6wK9SBbHx0D5TWdAxU_Wat4cCaxqFGZ8S9YLoKxXWKF-Mwd0Zogz0VY-Hi08OJNmXbbgEWInHtNQbWyPR5tpEiq347MEeQoa5tgsMZGlHluciRtFiHkkTpU2LY_64BW7nAuZJpT7brPVOO41iYQvmt-qBzwRRzEu74gd9V2A1k35cAw&amp;__tn__=*NK-R" TargetMode="External"/><Relationship Id="rId46" Type="http://schemas.openxmlformats.org/officeDocument/2006/relationships/hyperlink" Target="https://web.facebook.com/hashtag/eiti?__eep__=6&amp;__cft__%5b0%5d=AZaCcPSuE1o0_Ettd6ys6wK9SBbHx0D5TWdAxU_Wat4cCaxqFGZ8S9YLoKxXWKF-Mwd0Zogz0VY-Hi08OJNmXbbgEWInHtNQbWyPR5tpEiq347MEeQoa5tgsMZGlHluciRtFiHkkTpU2LY_64BW7nAuZJpT7brPVOO41iYQvmt-qBzwRRzEu74gd9V2A1k35cAw&amp;__tn__=*NK-R" TargetMode="External"/><Relationship Id="rId59" Type="http://schemas.openxmlformats.org/officeDocument/2006/relationships/image" Target="media/image31.jpe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web.facebook.com/hashtag/national?__eep__=6&amp;__cft__%5b0%5d=AZaCcPSuE1o0_Ettd6ys6wK9SBbHx0D5TWdAxU_Wat4cCaxqFGZ8S9YLoKxXWKF-Mwd0Zogz0VY-Hi08OJNmXbbgEWInHtNQbWyPR5tpEiq347MEeQoa5tgsMZGlHluciRtFiHkkTpU2LY_64BW7nAuZJpT7brPVOO41iYQvmt-qBzwRRzEu74gd9V2A1k35cAw&amp;__tn__=*NK-R" TargetMode="External"/><Relationship Id="rId54" Type="http://schemas.openxmlformats.org/officeDocument/2006/relationships/image" Target="media/image28.png"/><Relationship Id="rId62" Type="http://schemas.openxmlformats.org/officeDocument/2006/relationships/image" Target="media/image3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eb.facebook.com/hashtag/mainstreaming?__eep__=6&amp;__cft__%5b0%5d=AZaCcPSuE1o0_Ettd6ys6wK9SBbHx0D5TWdAxU_Wat4cCaxqFGZ8S9YLoKxXWKF-Mwd0Zogz0VY-Hi08OJNmXbbgEWInHtNQbWyPR5tpEiq347MEeQoa5tgsMZGlHluciRtFiHkkTpU2LY_64BW7nAuZJpT7brPVOO41iYQvmt-qBzwRRzEu74gd9V2A1k35cAw&amp;__tn__=*NK-R" TargetMode="External"/><Relationship Id="rId49" Type="http://schemas.openxmlformats.org/officeDocument/2006/relationships/image" Target="media/image23.png"/><Relationship Id="rId57" Type="http://schemas.openxmlformats.org/officeDocument/2006/relationships/hyperlink" Target="http://www.leiti.org.lr" TargetMode="External"/><Relationship Id="rId10" Type="http://schemas.openxmlformats.org/officeDocument/2006/relationships/image" Target="media/image3.emf"/><Relationship Id="rId31" Type="http://schemas.openxmlformats.org/officeDocument/2006/relationships/hyperlink" Target="https://web.facebook.com/hashtag/strategy?__eep__=6&amp;__cft__%5b0%5d=AZaCcPSuE1o0_Ettd6ys6wK9SBbHx0D5TWdAxU_Wat4cCaxqFGZ8S9YLoKxXWKF-Mwd0Zogz0VY-Hi08OJNmXbbgEWInHtNQbWyPR5tpEiq347MEeQoa5tgsMZGlHluciRtFiHkkTpU2LY_64BW7nAuZJpT7brPVOO41iYQvmt-qBzwRRzEu74gd9V2A1k35cAw&amp;__tn__=*NK-R" TargetMode="External"/><Relationship Id="rId44" Type="http://schemas.openxmlformats.org/officeDocument/2006/relationships/hyperlink" Target="https://web.facebook.com/hashtag/kpanay?__eep__=6&amp;__cft__%5b0%5d=AZaCcPSuE1o0_Ettd6ys6wK9SBbHx0D5TWdAxU_Wat4cCaxqFGZ8S9YLoKxXWKF-Mwd0Zogz0VY-Hi08OJNmXbbgEWInHtNQbWyPR5tpEiq347MEeQoa5tgsMZGlHluciRtFiHkkTpU2LY_64BW7nAuZJpT7brPVOO41iYQvmt-qBzwRRzEu74gd9V2A1k35cAw&amp;__tn__=*NK-R" TargetMode="External"/><Relationship Id="rId52" Type="http://schemas.openxmlformats.org/officeDocument/2006/relationships/image" Target="media/image26.png"/><Relationship Id="rId60" Type="http://schemas.openxmlformats.org/officeDocument/2006/relationships/image" Target="media/image32.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eb.facebook.com/hashtag/improving?__eep__=6&amp;__cft__%5b0%5d=AZaCcPSuE1o0_Ettd6ys6wK9SBbHx0D5TWdAxU_Wat4cCaxqFGZ8S9YLoKxXWKF-Mwd0Zogz0VY-Hi08OJNmXbbgEWInHtNQbWyPR5tpEiq347MEeQoa5tgsMZGlHluciRtFiHkkTpU2LY_64BW7nAuZJpT7brPVOO41iYQvmt-qBzwRRzEu74gd9V2A1k35cAw&amp;__tn__=*NK-R" TargetMode="External"/><Relationship Id="rId34" Type="http://schemas.openxmlformats.org/officeDocument/2006/relationships/hyperlink" Target="https://web.facebook.com/hashtag/anti?__eep__=6&amp;__cft__%5b0%5d=AZaCcPSuE1o0_Ettd6ys6wK9SBbHx0D5TWdAxU_Wat4cCaxqFGZ8S9YLoKxXWKF-Mwd0Zogz0VY-Hi08OJNmXbbgEWInHtNQbWyPR5tpEiq347MEeQoa5tgsMZGlHluciRtFiHkkTpU2LY_64BW7nAuZJpT7brPVOO41iYQvmt-qBzwRRzEu74gd9V2A1k35cAw&amp;__tn__=*NK-R" TargetMode="External"/><Relationship Id="rId50" Type="http://schemas.openxmlformats.org/officeDocument/2006/relationships/image" Target="media/image24.png"/><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1D12E-74F5-421F-9AAD-2ED0C54B3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22238</Words>
  <Characters>126761</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Yates</dc:creator>
  <cp:keywords/>
  <dc:description/>
  <cp:lastModifiedBy>Jeffrey Yates</cp:lastModifiedBy>
  <cp:revision>2</cp:revision>
  <dcterms:created xsi:type="dcterms:W3CDTF">2025-12-29T10:20:00Z</dcterms:created>
  <dcterms:modified xsi:type="dcterms:W3CDTF">2025-12-29T10:20:00Z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fa895b82-8e04-43a0-bb56-bc2be4541dad</vt:lpwstr>
  </property>
</Properties>
</file>